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741C03"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БС62</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Практическое занятие по теме «Материальная ответственность» </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10</w:t>
      </w:r>
      <w:r w:rsidR="003C05AF">
        <w:rPr>
          <w:rFonts w:ascii="Times New Roman" w:hAnsi="Times New Roman"/>
          <w:b/>
          <w:bCs/>
          <w:sz w:val="28"/>
          <w:szCs w:val="28"/>
          <w:lang w:eastAsia="ru-RU"/>
        </w:rPr>
        <w:t>-11</w:t>
      </w:r>
      <w:r>
        <w:rPr>
          <w:rFonts w:ascii="Times New Roman" w:hAnsi="Times New Roman"/>
          <w:b/>
          <w:bCs/>
          <w:sz w:val="28"/>
          <w:szCs w:val="28"/>
          <w:lang w:eastAsia="ru-RU"/>
        </w:rPr>
        <w:t xml:space="preserve"> апреля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3C05AF" w:rsidRPr="003C05AF" w:rsidRDefault="003C05AF" w:rsidP="005D0292">
      <w:pPr>
        <w:spacing w:after="0" w:line="240" w:lineRule="auto"/>
        <w:jc w:val="center"/>
        <w:rPr>
          <w:rFonts w:ascii="Times New Roman" w:hAnsi="Times New Roman"/>
          <w:b/>
          <w:bCs/>
          <w:sz w:val="28"/>
          <w:szCs w:val="28"/>
          <w:lang w:eastAsia="ru-RU"/>
        </w:rPr>
      </w:pPr>
      <w:r w:rsidRPr="003C05AF">
        <w:rPr>
          <w:rFonts w:ascii="Times New Roman" w:hAnsi="Times New Roman"/>
          <w:b/>
          <w:bCs/>
          <w:sz w:val="28"/>
          <w:szCs w:val="28"/>
          <w:lang w:eastAsia="ru-RU"/>
        </w:rPr>
        <w:t>Студентам, которые выполнили данное задание 10 апреля и отправили его на проверку, снова выполнять это задание не надо</w:t>
      </w:r>
      <w:r w:rsidR="0041686A">
        <w:rPr>
          <w:rFonts w:ascii="Times New Roman" w:hAnsi="Times New Roman"/>
          <w:b/>
          <w:bCs/>
          <w:sz w:val="28"/>
          <w:szCs w:val="28"/>
          <w:lang w:eastAsia="ru-RU"/>
        </w:rPr>
        <w:t>!!!!</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Pr="00857D4B" w:rsidRDefault="005D0292" w:rsidP="005D0292">
      <w:pPr>
        <w:spacing w:after="0" w:line="240" w:lineRule="auto"/>
        <w:ind w:firstLine="624"/>
        <w:jc w:val="center"/>
        <w:rPr>
          <w:rFonts w:ascii="Times New Roman" w:hAnsi="Times New Roman"/>
          <w:bCs/>
          <w:sz w:val="24"/>
          <w:szCs w:val="24"/>
        </w:rPr>
      </w:pPr>
      <w:r w:rsidRPr="00857D4B">
        <w:rPr>
          <w:rFonts w:ascii="Times New Roman" w:hAnsi="Times New Roman"/>
          <w:bCs/>
          <w:sz w:val="24"/>
          <w:szCs w:val="24"/>
        </w:rPr>
        <w:t>Раздел XI. МАТЕРИАЛЬНАЯ ОТВЕТСТВЕННОСТЬ СТОРОН ТРУДОВОГО ДОГОВОРА</w:t>
      </w:r>
    </w:p>
    <w:p w:rsidR="005D0292" w:rsidRPr="00857D4B" w:rsidRDefault="005D0292" w:rsidP="005D0292">
      <w:pPr>
        <w:spacing w:after="0" w:line="240" w:lineRule="auto"/>
        <w:ind w:firstLine="624"/>
        <w:jc w:val="both"/>
        <w:rPr>
          <w:rFonts w:ascii="Times New Roman" w:hAnsi="Times New Roman"/>
          <w:bCs/>
          <w:sz w:val="24"/>
          <w:szCs w:val="24"/>
        </w:rPr>
      </w:pPr>
      <w:r w:rsidRPr="00857D4B">
        <w:rPr>
          <w:rFonts w:ascii="Times New Roman" w:hAnsi="Times New Roman"/>
          <w:sz w:val="24"/>
          <w:szCs w:val="24"/>
        </w:rPr>
        <w:t> </w:t>
      </w:r>
      <w:r w:rsidRPr="00857D4B">
        <w:rPr>
          <w:rFonts w:ascii="Times New Roman" w:hAnsi="Times New Roman"/>
          <w:bCs/>
          <w:sz w:val="24"/>
          <w:szCs w:val="24"/>
        </w:rPr>
        <w:t>Глава 37. ОБЩИЕ ПОЛОЖЕНИЯ</w:t>
      </w:r>
    </w:p>
    <w:p w:rsidR="005D0292" w:rsidRPr="00857D4B" w:rsidRDefault="005D0292" w:rsidP="005D0292">
      <w:pPr>
        <w:spacing w:after="0" w:line="240" w:lineRule="auto"/>
        <w:ind w:firstLine="624"/>
        <w:jc w:val="both"/>
        <w:rPr>
          <w:rFonts w:ascii="Times New Roman" w:hAnsi="Times New Roman"/>
          <w:sz w:val="24"/>
          <w:szCs w:val="24"/>
        </w:rPr>
      </w:pPr>
      <w:r w:rsidRPr="00857D4B">
        <w:rPr>
          <w:rFonts w:ascii="Times New Roman" w:hAnsi="Times New Roman"/>
          <w:sz w:val="24"/>
          <w:szCs w:val="24"/>
        </w:rPr>
        <w:t> </w:t>
      </w:r>
      <w:r w:rsidRPr="00857D4B">
        <w:rPr>
          <w:rFonts w:ascii="Times New Roman" w:hAnsi="Times New Roman"/>
          <w:bCs/>
          <w:sz w:val="24"/>
          <w:szCs w:val="24"/>
        </w:rPr>
        <w:t>Статья 232. Обязанность стороны трудового договора возместить ущерб, причиненный ею другой стороне этого договора</w:t>
      </w:r>
      <w:bookmarkStart w:id="0" w:name="_GoBack"/>
      <w:bookmarkEnd w:id="0"/>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w:t>
      </w:r>
      <w:r>
        <w:rPr>
          <w:rFonts w:ascii="Times New Roman" w:hAnsi="Times New Roman"/>
          <w:sz w:val="24"/>
          <w:szCs w:val="24"/>
        </w:rPr>
        <w:lastRenderedPageBreak/>
        <w:t>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w:t>
      </w:r>
      <w:r>
        <w:rPr>
          <w:rFonts w:ascii="Times New Roman" w:hAnsi="Times New Roman"/>
          <w:sz w:val="24"/>
          <w:szCs w:val="24"/>
        </w:rPr>
        <w:lastRenderedPageBreak/>
        <w:t>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1" w:name="p4433"/>
      <w:bookmarkEnd w:id="1"/>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 xml:space="preserve">Мамедов. БС62. </w:t>
      </w:r>
      <w:r w:rsidR="00FC6F8D">
        <w:rPr>
          <w:rFonts w:ascii="Times New Roman" w:hAnsi="Times New Roman"/>
          <w:b/>
          <w:bCs/>
          <w:color w:val="0070C0"/>
          <w:sz w:val="28"/>
          <w:szCs w:val="28"/>
          <w:lang w:eastAsia="ru-RU"/>
        </w:rPr>
        <w:t>10-</w:t>
      </w:r>
      <w:r w:rsidR="003C05AF">
        <w:rPr>
          <w:rFonts w:ascii="Times New Roman" w:hAnsi="Times New Roman"/>
          <w:b/>
          <w:bCs/>
          <w:color w:val="0070C0"/>
          <w:sz w:val="28"/>
          <w:szCs w:val="28"/>
          <w:lang w:eastAsia="ru-RU"/>
        </w:rPr>
        <w:t>11</w:t>
      </w:r>
      <w:r>
        <w:rPr>
          <w:rFonts w:ascii="Times New Roman" w:hAnsi="Times New Roman"/>
          <w:b/>
          <w:bCs/>
          <w:color w:val="0070C0"/>
          <w:sz w:val="28"/>
          <w:szCs w:val="28"/>
          <w:lang w:eastAsia="ru-RU"/>
        </w:rPr>
        <w:t xml:space="preserve"> апреля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Сидоров пришел на работу в состоянии алкогольного опьянения и повредил производственное оборудование. Стоимость оборудования 300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рублей. Оборудование не могло быть использовано 2 дня (было на ремонте). Ущерб от простоя оборудования составил 150 тыс. рублей.</w:t>
      </w:r>
    </w:p>
    <w:p w:rsidR="00B6061C" w:rsidRDefault="00B6061C" w:rsidP="00B6061C">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w:t>
      </w:r>
      <w:r>
        <w:rPr>
          <w:rFonts w:ascii="Times New Roman" w:hAnsi="Times New Roman"/>
          <w:b/>
          <w:sz w:val="28"/>
          <w:szCs w:val="28"/>
        </w:rPr>
        <w:t xml:space="preserve">каком </w:t>
      </w:r>
      <w:r w:rsidRPr="00B6061C">
        <w:rPr>
          <w:rFonts w:ascii="Times New Roman" w:hAnsi="Times New Roman"/>
          <w:b/>
          <w:sz w:val="28"/>
          <w:szCs w:val="28"/>
        </w:rPr>
        <w:t>размере (то есть надо указать, сколько тысяч рублей будет взыскано с Сидорова</w:t>
      </w:r>
      <w:r>
        <w:rPr>
          <w:rFonts w:ascii="Times New Roman" w:hAnsi="Times New Roman"/>
          <w:sz w:val="28"/>
          <w:szCs w:val="28"/>
        </w:rPr>
        <w:t>)? Ответ обоснуйте со ссылками на нормы ТК РФ.</w:t>
      </w:r>
    </w:p>
    <w:p w:rsidR="00B6061C" w:rsidRDefault="00B6061C" w:rsidP="00B6061C">
      <w:pPr>
        <w:pStyle w:val="a3"/>
        <w:spacing w:after="0"/>
        <w:ind w:left="0"/>
        <w:rPr>
          <w:rFonts w:ascii="Times New Roman" w:hAnsi="Times New Roman"/>
          <w:sz w:val="28"/>
          <w:szCs w:val="28"/>
        </w:rPr>
      </w:pPr>
    </w:p>
    <w:p w:rsidR="00B6061C" w:rsidRDefault="00B6061C" w:rsidP="00B6061C">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Составьте договор о полной материальной ответственности между работодателем и </w:t>
      </w:r>
      <w:r>
        <w:rPr>
          <w:rFonts w:ascii="Times New Roman" w:hAnsi="Times New Roman"/>
          <w:b/>
          <w:bCs/>
          <w:color w:val="000000"/>
          <w:sz w:val="28"/>
          <w:szCs w:val="28"/>
          <w:lang w:eastAsia="ru-RU"/>
        </w:rPr>
        <w:t>вами (как работником</w:t>
      </w:r>
      <w:r>
        <w:rPr>
          <w:rFonts w:ascii="Times New Roman" w:hAnsi="Times New Roman"/>
          <w:bCs/>
          <w:color w:val="000000"/>
          <w:sz w:val="28"/>
          <w:szCs w:val="28"/>
          <w:lang w:eastAsia="ru-RU"/>
        </w:rPr>
        <w:t>).</w:t>
      </w:r>
    </w:p>
    <w:p w:rsidR="00B6061C" w:rsidRDefault="00B6061C" w:rsidP="00B6061C">
      <w:pPr>
        <w:spacing w:after="0" w:line="240" w:lineRule="auto"/>
        <w:jc w:val="center"/>
        <w:rPr>
          <w:rFonts w:ascii="Times New Roman" w:hAnsi="Times New Roman"/>
          <w:bCs/>
          <w:color w:val="000000"/>
          <w:sz w:val="28"/>
          <w:szCs w:val="28"/>
          <w:lang w:eastAsia="ru-RU"/>
        </w:rPr>
      </w:pPr>
    </w:p>
    <w:p w:rsidR="00D00E9C" w:rsidRPr="00BB16C0" w:rsidRDefault="00D00E9C" w:rsidP="00B6061C">
      <w:pPr>
        <w:spacing w:after="0" w:line="240" w:lineRule="auto"/>
        <w:jc w:val="both"/>
        <w:rPr>
          <w:rFonts w:ascii="Times New Roman" w:hAnsi="Times New Roman"/>
          <w:bCs/>
          <w:color w:val="000000"/>
          <w:sz w:val="28"/>
          <w:szCs w:val="28"/>
          <w:lang w:eastAsia="ru-RU"/>
        </w:rPr>
      </w:pP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C05AF"/>
    <w:rsid w:val="003F0654"/>
    <w:rsid w:val="0041686A"/>
    <w:rsid w:val="004573FD"/>
    <w:rsid w:val="00476A50"/>
    <w:rsid w:val="00503F96"/>
    <w:rsid w:val="0059659B"/>
    <w:rsid w:val="005A788E"/>
    <w:rsid w:val="005C3CFD"/>
    <w:rsid w:val="005D0292"/>
    <w:rsid w:val="005D486D"/>
    <w:rsid w:val="005E3365"/>
    <w:rsid w:val="005F200A"/>
    <w:rsid w:val="00622C8A"/>
    <w:rsid w:val="006C5A1B"/>
    <w:rsid w:val="006C69EB"/>
    <w:rsid w:val="00735D36"/>
    <w:rsid w:val="00741C03"/>
    <w:rsid w:val="0074568A"/>
    <w:rsid w:val="00783B4C"/>
    <w:rsid w:val="00787B28"/>
    <w:rsid w:val="007A11D2"/>
    <w:rsid w:val="007C79EB"/>
    <w:rsid w:val="008109FF"/>
    <w:rsid w:val="00857D4B"/>
    <w:rsid w:val="00860849"/>
    <w:rsid w:val="0088394B"/>
    <w:rsid w:val="008C135C"/>
    <w:rsid w:val="008F6C10"/>
    <w:rsid w:val="008F7D5C"/>
    <w:rsid w:val="0090636A"/>
    <w:rsid w:val="009C42DD"/>
    <w:rsid w:val="009E1751"/>
    <w:rsid w:val="00A0120D"/>
    <w:rsid w:val="00A561B0"/>
    <w:rsid w:val="00AE44F3"/>
    <w:rsid w:val="00B6061C"/>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C6F8D"/>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517036577">
      <w:bodyDiv w:val="1"/>
      <w:marLeft w:val="0"/>
      <w:marRight w:val="0"/>
      <w:marTop w:val="0"/>
      <w:marBottom w:val="0"/>
      <w:divBdr>
        <w:top w:val="none" w:sz="0" w:space="0" w:color="auto"/>
        <w:left w:val="none" w:sz="0" w:space="0" w:color="auto"/>
        <w:bottom w:val="none" w:sz="0" w:space="0" w:color="auto"/>
        <w:right w:val="none" w:sz="0" w:space="0" w:color="auto"/>
      </w:divBdr>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2020-03-19T13:51:00Z</dcterms:created>
  <dcterms:modified xsi:type="dcterms:W3CDTF">2020-04-10T16:01:00Z</dcterms:modified>
</cp:coreProperties>
</file>