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E5" w:rsidRDefault="00AE12E4" w:rsidP="00327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E87C98">
        <w:rPr>
          <w:rFonts w:ascii="Times New Roman" w:hAnsi="Times New Roman" w:cs="Times New Roman"/>
          <w:b/>
        </w:rPr>
        <w:t>09</w:t>
      </w:r>
      <w:r w:rsidR="009E004A">
        <w:rPr>
          <w:rFonts w:ascii="Times New Roman" w:hAnsi="Times New Roman" w:cs="Times New Roman"/>
          <w:b/>
        </w:rPr>
        <w:t>.06.2020</w:t>
      </w:r>
      <w:r w:rsidR="00E87C98">
        <w:rPr>
          <w:rFonts w:ascii="Times New Roman" w:hAnsi="Times New Roman" w:cs="Times New Roman"/>
          <w:b/>
        </w:rPr>
        <w:t>г.</w:t>
      </w:r>
    </w:p>
    <w:p w:rsidR="00340B99" w:rsidRPr="000529F9" w:rsidRDefault="00340B99" w:rsidP="00052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29F9">
        <w:rPr>
          <w:rFonts w:ascii="Times New Roman" w:hAnsi="Times New Roman" w:cs="Times New Roman"/>
          <w:sz w:val="16"/>
          <w:szCs w:val="16"/>
        </w:rPr>
        <w:t>Разобрать задачи</w:t>
      </w:r>
      <w:r w:rsidR="000529F9">
        <w:rPr>
          <w:rFonts w:ascii="Times New Roman" w:hAnsi="Times New Roman" w:cs="Times New Roman"/>
          <w:sz w:val="16"/>
          <w:szCs w:val="16"/>
        </w:rPr>
        <w:t xml:space="preserve"> и решить</w:t>
      </w:r>
      <w:r w:rsidRPr="000529F9">
        <w:rPr>
          <w:rFonts w:ascii="Times New Roman" w:hAnsi="Times New Roman" w:cs="Times New Roman"/>
          <w:sz w:val="16"/>
          <w:szCs w:val="16"/>
        </w:rPr>
        <w:t>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Относительные величины динамики.</w:t>
      </w:r>
      <w:r w:rsidRPr="000529F9">
        <w:rPr>
          <w:sz w:val="16"/>
          <w:szCs w:val="16"/>
        </w:rPr>
        <w:t xml:space="preserve"> Характеризуют изменение изучаемого явления во времени и выявляют направление развития объекта. Получают в результате деления фактического уровня отчетного периода на фактический уровень базового периода: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4659630" cy="430530"/>
            <wp:effectExtent l="0" t="0" r="7620" b="0"/>
            <wp:docPr id="1" name="Рисунок 1" descr="https://www.ekonomstat.ru/images/kurs-lekcij-po-statistike/otnositelnye-velichin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nomstat.ru/images/kurs-lekcij-po-statistike/otnositelnye-velichiny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               (4.1)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>. Машиностроительный завод в 2000 году выпустил 630 станков, а в 1999 году - 500 станков. Необходимо определить факти</w:t>
      </w:r>
      <w:r w:rsidR="000B0E48" w:rsidRPr="000B0E48">
        <w:rPr>
          <w:b/>
          <w:sz w:val="16"/>
          <w:szCs w:val="16"/>
          <w:highlight w:val="yellow"/>
        </w:rPr>
        <w:t>ческую динамику выпуска станков и сделать выводы.</w:t>
      </w:r>
      <w:r w:rsidRPr="000B0E48">
        <w:rPr>
          <w:b/>
          <w:bCs/>
          <w:i/>
          <w:iCs/>
          <w:sz w:val="16"/>
          <w:szCs w:val="16"/>
          <w:highlight w:val="yellow"/>
        </w:rPr>
        <w:t> 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планового задания</w:t>
      </w:r>
      <w:r w:rsidRPr="000529F9">
        <w:rPr>
          <w:sz w:val="16"/>
          <w:szCs w:val="16"/>
        </w:rPr>
        <w:t>. Ее получают в результате деления планового задания отчетного периода на фактический уровень базисного периода.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4537075" cy="430530"/>
            <wp:effectExtent l="0" t="0" r="0" b="0"/>
            <wp:docPr id="3" name="Рисунок 3" descr="https://www.ekonomstat.ru/images/kurs-lekcij-po-statistike/otnositelnye-velichin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konomstat.ru/images/kurs-lekcij-po-statistike/otnositelnye-velichiny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 (4.2)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>. Машиностроительный завод в 2006 году выпустил 500 станков, а в 2007 году планировал выпустить 693 станка. Определить относительную величину планового задания выпуска станков</w:t>
      </w:r>
      <w:proofErr w:type="gramStart"/>
      <w:r w:rsidR="000B0E48" w:rsidRPr="000B0E48">
        <w:rPr>
          <w:b/>
          <w:sz w:val="16"/>
          <w:szCs w:val="16"/>
          <w:highlight w:val="yellow"/>
        </w:rPr>
        <w:t xml:space="preserve"> </w:t>
      </w:r>
      <w:r w:rsidR="000B0E48">
        <w:rPr>
          <w:b/>
          <w:sz w:val="16"/>
          <w:szCs w:val="16"/>
          <w:highlight w:val="yellow"/>
        </w:rPr>
        <w:t>,</w:t>
      </w:r>
      <w:proofErr w:type="gramEnd"/>
      <w:r w:rsidR="000B0E48" w:rsidRPr="000B0E48">
        <w:rPr>
          <w:b/>
          <w:sz w:val="16"/>
          <w:szCs w:val="16"/>
          <w:highlight w:val="yellow"/>
        </w:rPr>
        <w:t>сделать выводы.</w:t>
      </w:r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  <w:r w:rsidRPr="000B0E48">
        <w:rPr>
          <w:b/>
          <w:sz w:val="16"/>
          <w:szCs w:val="16"/>
          <w:highlight w:val="yellow"/>
        </w:rPr>
        <w:t>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выполнения задания.</w:t>
      </w:r>
      <w:r w:rsidRPr="000529F9">
        <w:rPr>
          <w:sz w:val="16"/>
          <w:szCs w:val="16"/>
        </w:rPr>
        <w:t xml:space="preserve"> Получают в результате деления фактически достигнутого уровня в отчетном периоде на плановое задание этого же периода: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4739005" cy="457200"/>
            <wp:effectExtent l="0" t="0" r="4445" b="0"/>
            <wp:docPr id="5" name="Рисунок 5" descr="https://www.ekonomstat.ru/images/kurs-lekcij-po-statistike/otnositelnye-velichiny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konomstat.ru/images/kurs-lekcij-po-statistike/otnositelnye-velichiny_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   (4.3)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>. Машиностроительный завод планировал в 2006 году выпустить 693 станка, а фактически выпустил 630 штук. Определим величину выполнения плана</w:t>
      </w:r>
      <w:r w:rsidR="000B0E48" w:rsidRPr="000B0E48">
        <w:rPr>
          <w:b/>
          <w:sz w:val="16"/>
          <w:szCs w:val="16"/>
          <w:highlight w:val="yellow"/>
        </w:rPr>
        <w:t xml:space="preserve"> сделать выводы.</w:t>
      </w:r>
      <w:proofErr w:type="gramStart"/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  <w:r w:rsidR="000B0E48">
        <w:rPr>
          <w:b/>
          <w:sz w:val="16"/>
          <w:szCs w:val="16"/>
          <w:highlight w:val="yellow"/>
        </w:rPr>
        <w:t>,</w:t>
      </w:r>
      <w:proofErr w:type="gramEnd"/>
      <w:r w:rsidRPr="000B0E48">
        <w:rPr>
          <w:b/>
          <w:sz w:val="16"/>
          <w:szCs w:val="16"/>
          <w:highlight w:val="yellow"/>
        </w:rPr>
        <w:t>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структуры.</w:t>
      </w:r>
      <w:r w:rsidRPr="000529F9">
        <w:rPr>
          <w:sz w:val="16"/>
          <w:szCs w:val="16"/>
        </w:rPr>
        <w:t xml:space="preserve"> Характеризует состав изучаемой совокупности (долю, удельные веса элементов). Вычисляется как отношение абсолютной величины части совокупности к абсолютной величине всей совокупности: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3851275" cy="422275"/>
            <wp:effectExtent l="0" t="0" r="0" b="0"/>
            <wp:docPr id="7" name="Рисунок 7" descr="https://www.ekonomstat.ru/images/kurs-lekcij-po-statistike/otnositelnye-velichiny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konomstat.ru/images/kurs-lekcij-po-statistike/otnositelnye-velichiny_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       (4.4)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>. В студенческой группе 27 человек, из них 9 - мужчины. Определим относительную величину структуры группы</w:t>
      </w:r>
      <w:proofErr w:type="gramStart"/>
      <w:r w:rsidRPr="000B0E48">
        <w:rPr>
          <w:b/>
          <w:sz w:val="16"/>
          <w:szCs w:val="16"/>
          <w:highlight w:val="yellow"/>
        </w:rPr>
        <w:t>.</w:t>
      </w:r>
      <w:proofErr w:type="gramEnd"/>
      <w:r w:rsidR="000B0E48" w:rsidRPr="000B0E48">
        <w:rPr>
          <w:b/>
          <w:sz w:val="16"/>
          <w:szCs w:val="16"/>
          <w:highlight w:val="yellow"/>
        </w:rPr>
        <w:t xml:space="preserve"> </w:t>
      </w:r>
      <w:proofErr w:type="gramStart"/>
      <w:r w:rsidR="000B0E48" w:rsidRPr="000B0E48">
        <w:rPr>
          <w:b/>
          <w:sz w:val="16"/>
          <w:szCs w:val="16"/>
          <w:highlight w:val="yellow"/>
        </w:rPr>
        <w:t>с</w:t>
      </w:r>
      <w:proofErr w:type="gramEnd"/>
      <w:r w:rsidR="000B0E48" w:rsidRPr="000B0E48">
        <w:rPr>
          <w:b/>
          <w:sz w:val="16"/>
          <w:szCs w:val="16"/>
          <w:highlight w:val="yellow"/>
        </w:rPr>
        <w:t>делать выводы.</w:t>
      </w:r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координации</w:t>
      </w:r>
      <w:r w:rsidRPr="000529F9">
        <w:rPr>
          <w:sz w:val="16"/>
          <w:szCs w:val="16"/>
        </w:rPr>
        <w:t>. Характеризуют отношение частей данной совокупности к одной из них, принятой за базу сравнения и показывают во сколько раз одна часть совокупности больше другой, либо сколько единиц одной части приходится на 1, 10, 100, 1000... единиц другой части.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2602230" cy="430530"/>
            <wp:effectExtent l="0" t="0" r="0" b="0"/>
            <wp:docPr id="9" name="Рисунок 9" descr="https://www.ekonomstat.ru/images/kurs-lekcij-po-statistike/otnositelnye-velichiny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konomstat.ru/images/kurs-lekcij-po-statistike/otnositelnye-velichiny_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                            (4.5)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 xml:space="preserve">. </w:t>
      </w:r>
      <w:proofErr w:type="gramStart"/>
      <w:r w:rsidRPr="000B0E48">
        <w:rPr>
          <w:b/>
          <w:sz w:val="16"/>
          <w:szCs w:val="16"/>
          <w:highlight w:val="yellow"/>
        </w:rPr>
        <w:t xml:space="preserve">В 2001 году топливно-энергетические ресурсы (в </w:t>
      </w:r>
      <w:proofErr w:type="spellStart"/>
      <w:r w:rsidRPr="000B0E48">
        <w:rPr>
          <w:b/>
          <w:sz w:val="16"/>
          <w:szCs w:val="16"/>
          <w:highlight w:val="yellow"/>
        </w:rPr>
        <w:t>у.т</w:t>
      </w:r>
      <w:proofErr w:type="spellEnd"/>
      <w:r w:rsidRPr="000B0E48">
        <w:rPr>
          <w:b/>
          <w:sz w:val="16"/>
          <w:szCs w:val="16"/>
          <w:highlight w:val="yellow"/>
        </w:rPr>
        <w:t xml:space="preserve">.) распределялись следующим образом: преобразование в другие виды энергии – 979,8 млн. </w:t>
      </w:r>
      <w:proofErr w:type="spellStart"/>
      <w:r w:rsidRPr="000B0E48">
        <w:rPr>
          <w:b/>
          <w:sz w:val="16"/>
          <w:szCs w:val="16"/>
          <w:highlight w:val="yellow"/>
        </w:rPr>
        <w:t>у.т</w:t>
      </w:r>
      <w:proofErr w:type="spellEnd"/>
      <w:r w:rsidRPr="000B0E48">
        <w:rPr>
          <w:b/>
          <w:sz w:val="16"/>
          <w:szCs w:val="16"/>
          <w:highlight w:val="yellow"/>
        </w:rPr>
        <w:t xml:space="preserve">.; производственные и прочие нужды – 989,0 млн. </w:t>
      </w:r>
      <w:proofErr w:type="spellStart"/>
      <w:r w:rsidRPr="000B0E48">
        <w:rPr>
          <w:b/>
          <w:sz w:val="16"/>
          <w:szCs w:val="16"/>
          <w:highlight w:val="yellow"/>
        </w:rPr>
        <w:t>у.т</w:t>
      </w:r>
      <w:proofErr w:type="spellEnd"/>
      <w:r w:rsidRPr="000B0E48">
        <w:rPr>
          <w:b/>
          <w:sz w:val="16"/>
          <w:szCs w:val="16"/>
          <w:highlight w:val="yellow"/>
        </w:rPr>
        <w:t xml:space="preserve">.; экспорт – 418,3 млн. </w:t>
      </w:r>
      <w:proofErr w:type="spellStart"/>
      <w:r w:rsidRPr="000B0E48">
        <w:rPr>
          <w:b/>
          <w:sz w:val="16"/>
          <w:szCs w:val="16"/>
          <w:highlight w:val="yellow"/>
        </w:rPr>
        <w:t>у.т</w:t>
      </w:r>
      <w:proofErr w:type="spellEnd"/>
      <w:r w:rsidRPr="000B0E48">
        <w:rPr>
          <w:b/>
          <w:sz w:val="16"/>
          <w:szCs w:val="16"/>
          <w:highlight w:val="yellow"/>
        </w:rPr>
        <w:t xml:space="preserve">.; остаток на конец года – 242,1 млн. </w:t>
      </w:r>
      <w:proofErr w:type="spellStart"/>
      <w:r w:rsidRPr="000B0E48">
        <w:rPr>
          <w:b/>
          <w:sz w:val="16"/>
          <w:szCs w:val="16"/>
          <w:highlight w:val="yellow"/>
        </w:rPr>
        <w:t>у.т</w:t>
      </w:r>
      <w:proofErr w:type="spellEnd"/>
      <w:r w:rsidRPr="000B0E48">
        <w:rPr>
          <w:b/>
          <w:sz w:val="16"/>
          <w:szCs w:val="16"/>
          <w:highlight w:val="yellow"/>
        </w:rPr>
        <w:t>. приняв за базу сравнения экспортные поставки, определим, сколько приходится на производство:</w:t>
      </w:r>
      <w:r w:rsidR="000B0E48" w:rsidRPr="000B0E48">
        <w:rPr>
          <w:b/>
          <w:sz w:val="16"/>
          <w:szCs w:val="16"/>
          <w:highlight w:val="yellow"/>
        </w:rPr>
        <w:t xml:space="preserve"> сделать выводы.</w:t>
      </w:r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  <w:proofErr w:type="gramEnd"/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сравнения (территориально-пространственного).</w:t>
      </w:r>
      <w:r w:rsidRPr="000529F9">
        <w:rPr>
          <w:sz w:val="16"/>
          <w:szCs w:val="16"/>
        </w:rPr>
        <w:t xml:space="preserve"> Характеризует сравнительные размеры одноименных показателей, но относящихся различным объектам или территориям и имеющих одинаковую временную определенность. Интерпретация этих величин зависит от базы сравнения.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2620010" cy="457200"/>
            <wp:effectExtent l="19050" t="0" r="8890" b="0"/>
            <wp:docPr id="11" name="Рисунок 11" descr="https://www.ekonomstat.ru/images/kurs-lekcij-po-statistike/otnositelnye-velichiny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konomstat.ru/images/kurs-lekcij-po-statistike/otnositelnye-velichiny_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                           (4.6)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  <w:highlight w:val="yellow"/>
        </w:rPr>
      </w:pPr>
      <w:r w:rsidRPr="000B0E48">
        <w:rPr>
          <w:b/>
          <w:i/>
          <w:iCs/>
          <w:sz w:val="16"/>
          <w:szCs w:val="16"/>
          <w:highlight w:val="yellow"/>
        </w:rPr>
        <w:lastRenderedPageBreak/>
        <w:t>Пример</w:t>
      </w:r>
      <w:r w:rsidRPr="000B0E48">
        <w:rPr>
          <w:b/>
          <w:sz w:val="16"/>
          <w:szCs w:val="16"/>
          <w:highlight w:val="yellow"/>
        </w:rPr>
        <w:t xml:space="preserve">. Население </w:t>
      </w:r>
      <w:proofErr w:type="gramStart"/>
      <w:r w:rsidRPr="000B0E48">
        <w:rPr>
          <w:b/>
          <w:sz w:val="16"/>
          <w:szCs w:val="16"/>
          <w:highlight w:val="yellow"/>
        </w:rPr>
        <w:t>г</w:t>
      </w:r>
      <w:proofErr w:type="gramEnd"/>
      <w:r w:rsidRPr="000B0E48">
        <w:rPr>
          <w:b/>
          <w:sz w:val="16"/>
          <w:szCs w:val="16"/>
          <w:highlight w:val="yellow"/>
        </w:rPr>
        <w:t>. Москвы в 2001 году составило 8,967 млн. чел., а население г. С.-Петербурга в этом же году составило 5,020 млн. чел.</w:t>
      </w:r>
      <w:r w:rsidR="000B0E48" w:rsidRPr="000B0E48">
        <w:rPr>
          <w:b/>
          <w:sz w:val="16"/>
          <w:szCs w:val="16"/>
          <w:highlight w:val="yellow"/>
        </w:rPr>
        <w:t xml:space="preserve"> сделать выводы.</w:t>
      </w:r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b/>
          <w:bCs/>
          <w:i/>
          <w:iCs/>
          <w:sz w:val="16"/>
          <w:szCs w:val="16"/>
        </w:rPr>
        <w:t>Относительная величина интенсивности.</w:t>
      </w:r>
      <w:r w:rsidRPr="000529F9">
        <w:rPr>
          <w:sz w:val="16"/>
          <w:szCs w:val="16"/>
        </w:rPr>
        <w:t xml:space="preserve"> Показывает, сколько единиц одной совокупности приходится на единицу другой совокупности и характеризует степень распространения явления в определенной среде:</w:t>
      </w:r>
    </w:p>
    <w:p w:rsidR="00340B99" w:rsidRPr="000529F9" w:rsidRDefault="00340B99" w:rsidP="000529F9">
      <w:pPr>
        <w:pStyle w:val="a6"/>
        <w:spacing w:after="0" w:afterAutospacing="0"/>
        <w:rPr>
          <w:sz w:val="16"/>
          <w:szCs w:val="16"/>
        </w:rPr>
      </w:pPr>
      <w:r w:rsidRPr="000529F9">
        <w:rPr>
          <w:noProof/>
          <w:sz w:val="16"/>
          <w:szCs w:val="16"/>
        </w:rPr>
        <w:drawing>
          <wp:inline distT="0" distB="0" distL="0" distR="0">
            <wp:extent cx="2822575" cy="430530"/>
            <wp:effectExtent l="0" t="0" r="0" b="0"/>
            <wp:docPr id="13" name="Рисунок 13" descr="https://www.ekonomstat.ru/images/kurs-lekcij-po-statistike/otnositelnye-velichiny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konomstat.ru/images/kurs-lekcij-po-statistike/otnositelnye-velichiny_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9F9">
        <w:rPr>
          <w:sz w:val="16"/>
          <w:szCs w:val="16"/>
        </w:rPr>
        <w:t>                                  (4.7)</w:t>
      </w:r>
    </w:p>
    <w:p w:rsidR="00340B99" w:rsidRPr="000B0E48" w:rsidRDefault="00340B99" w:rsidP="000529F9">
      <w:pPr>
        <w:pStyle w:val="a6"/>
        <w:spacing w:after="0" w:afterAutospacing="0"/>
        <w:rPr>
          <w:b/>
          <w:sz w:val="16"/>
          <w:szCs w:val="16"/>
        </w:rPr>
      </w:pPr>
      <w:r w:rsidRPr="000B0E48">
        <w:rPr>
          <w:b/>
          <w:i/>
          <w:iCs/>
          <w:sz w:val="16"/>
          <w:szCs w:val="16"/>
          <w:highlight w:val="yellow"/>
        </w:rPr>
        <w:t>Пример</w:t>
      </w:r>
      <w:r w:rsidRPr="000B0E48">
        <w:rPr>
          <w:b/>
          <w:sz w:val="16"/>
          <w:szCs w:val="16"/>
          <w:highlight w:val="yellow"/>
        </w:rPr>
        <w:t>. Определить производительность труда 100 рабочих, если общий объем готовой продукции 1200 изделий</w:t>
      </w:r>
      <w:proofErr w:type="gramStart"/>
      <w:r w:rsidRPr="000B0E48">
        <w:rPr>
          <w:b/>
          <w:sz w:val="16"/>
          <w:szCs w:val="16"/>
          <w:highlight w:val="yellow"/>
        </w:rPr>
        <w:t>.</w:t>
      </w:r>
      <w:proofErr w:type="gramEnd"/>
      <w:r w:rsidR="000B0E48" w:rsidRPr="000B0E48">
        <w:rPr>
          <w:b/>
          <w:sz w:val="16"/>
          <w:szCs w:val="16"/>
          <w:highlight w:val="yellow"/>
        </w:rPr>
        <w:t xml:space="preserve"> </w:t>
      </w:r>
      <w:proofErr w:type="gramStart"/>
      <w:r w:rsidR="000B0E48" w:rsidRPr="000B0E48">
        <w:rPr>
          <w:b/>
          <w:sz w:val="16"/>
          <w:szCs w:val="16"/>
          <w:highlight w:val="yellow"/>
        </w:rPr>
        <w:t>с</w:t>
      </w:r>
      <w:proofErr w:type="gramEnd"/>
      <w:r w:rsidR="000B0E48" w:rsidRPr="000B0E48">
        <w:rPr>
          <w:b/>
          <w:sz w:val="16"/>
          <w:szCs w:val="16"/>
          <w:highlight w:val="yellow"/>
        </w:rPr>
        <w:t>делать выводы.</w:t>
      </w:r>
      <w:r w:rsidR="000B0E48" w:rsidRPr="000B0E48">
        <w:rPr>
          <w:b/>
          <w:bCs/>
          <w:i/>
          <w:iCs/>
          <w:sz w:val="16"/>
          <w:szCs w:val="16"/>
          <w:highlight w:val="yellow"/>
        </w:rPr>
        <w:t> </w:t>
      </w:r>
    </w:p>
    <w:p w:rsidR="00340B99" w:rsidRPr="000529F9" w:rsidRDefault="000B0E48" w:rsidP="000529F9">
      <w:pPr>
        <w:pStyle w:val="a6"/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2.Разобрать пример. </w:t>
      </w:r>
    </w:p>
    <w:p w:rsidR="000B0E48" w:rsidRDefault="000B0E48" w:rsidP="000B0E48">
      <w:r>
        <w:rPr>
          <w:rStyle w:val="review-h5"/>
        </w:rPr>
        <w:t>Величина равных интервалов определяется по формуле:</w:t>
      </w:r>
      <w:r>
        <w:t xml:space="preserve"> </w:t>
      </w:r>
    </w:p>
    <w:p w:rsidR="000B0E48" w:rsidRDefault="000B0E48" w:rsidP="000B0E48">
      <w:pPr>
        <w:pStyle w:val="a6"/>
      </w:pPr>
      <w:r>
        <w:rPr>
          <w:noProof/>
        </w:rPr>
        <w:drawing>
          <wp:inline distT="0" distB="0" distL="0" distR="0">
            <wp:extent cx="1591310" cy="193675"/>
            <wp:effectExtent l="19050" t="0" r="8890" b="0"/>
            <wp:docPr id="29" name="Рисунок 29" descr="http://chart.apis.google.com/chart?cht=tx&amp;chl=i%20=%20(X_%7bmax%7d%20-%20X_%7bmin%7d)%20/%2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hart.apis.google.com/chart?cht=tx&amp;chl=i%20=%20(X_%7bmax%7d%20-%20X_%7bmin%7d)%20/%20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Default="000B0E48" w:rsidP="000B0E4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61595" cy="132080"/>
            <wp:effectExtent l="19050" t="0" r="0" b="0"/>
            <wp:docPr id="30" name="Рисунок 30" descr="http://chart.apis.google.com/chart?cht=tx&amp;chl=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art.apis.google.com/chart?cht=tx&amp;chl=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— величина интервала</w:t>
      </w:r>
    </w:p>
    <w:p w:rsidR="000B0E48" w:rsidRDefault="000B0E48" w:rsidP="000B0E4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404495" cy="158115"/>
            <wp:effectExtent l="19050" t="0" r="0" b="0"/>
            <wp:docPr id="31" name="Рисунок 31" descr="http://chart.apis.google.com/chart?cht=tx&amp;chl=X_%7bma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hart.apis.google.com/chart?cht=tx&amp;chl=X_%7bmax%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максимальное значение признака в совокупности</w:t>
      </w:r>
    </w:p>
    <w:p w:rsidR="000B0E48" w:rsidRDefault="000B0E48" w:rsidP="000B0E4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377825" cy="158115"/>
            <wp:effectExtent l="19050" t="0" r="3175" b="0"/>
            <wp:docPr id="32" name="Рисунок 32" descr="http://chart.apis.google.com/chart?cht=tx&amp;chl=X_%7bmi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hart.apis.google.com/chart?cht=tx&amp;chl=X_%7bmin%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— минимальное значение признака в совокупности</w:t>
      </w:r>
    </w:p>
    <w:p w:rsidR="000B0E48" w:rsidRDefault="000B0E48" w:rsidP="000B0E4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105410" cy="96520"/>
            <wp:effectExtent l="19050" t="0" r="8890" b="0"/>
            <wp:docPr id="33" name="Рисунок 33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— число групп</w:t>
      </w:r>
    </w:p>
    <w:p w:rsidR="000B0E48" w:rsidRDefault="000B0E48" w:rsidP="000B0E48">
      <w:pPr>
        <w:spacing w:after="0"/>
      </w:pPr>
      <w:r>
        <w:rPr>
          <w:rStyle w:val="review-h5"/>
        </w:rPr>
        <w:t>Правила округления интервалов:</w:t>
      </w:r>
      <w:r>
        <w:t xml:space="preserve"> </w:t>
      </w:r>
    </w:p>
    <w:p w:rsidR="000B0E48" w:rsidRDefault="000B0E48" w:rsidP="000B0E4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Если интервал имеет один знак ДО запятой, то полученное значение округляется до десятых (0,88 = 0,9; 8,715 = 8,7)</w:t>
      </w:r>
    </w:p>
    <w:p w:rsidR="000B0E48" w:rsidRDefault="000B0E48" w:rsidP="000B0E4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Если величина интервала имеет два знака ДО запятой, то полученное значение округляется до целых (11,11 = 11; 29,98 = 30)</w:t>
      </w:r>
    </w:p>
    <w:p w:rsidR="000B0E48" w:rsidRDefault="000B0E48" w:rsidP="000B0E4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Если интервал трех, четырех и более значимое число, то интервал принимают кратным 50 или 100</w:t>
      </w:r>
    </w:p>
    <w:p w:rsidR="000B0E48" w:rsidRPr="000B0E48" w:rsidRDefault="000B0E48" w:rsidP="000B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основании группировки лежит количественный признак, то число групп определяют по </w:t>
      </w:r>
      <w:r w:rsidRPr="000B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формуле </w:t>
      </w:r>
      <w:proofErr w:type="spellStart"/>
      <w:r w:rsidRPr="000B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Стерджесса</w:t>
      </w:r>
      <w:proofErr w:type="spellEnd"/>
      <w:r w:rsidRPr="000B0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0E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290" cy="201930"/>
            <wp:effectExtent l="19050" t="0" r="0" b="0"/>
            <wp:docPr id="51" name="Рисунок 51" descr="http://chart.apis.google.com/chart?cht=tx&amp;chl=n%20=%201%20%2B%203.322%20lgN%20=%20log_2N%20%2B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hart.apis.google.com/chart?cht=tx&amp;chl=n%20=%201%20%2B%203.322%20lgN%20=%20log_2N%20%2B%2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Pr="000B0E48" w:rsidRDefault="000B0E48" w:rsidP="000B0E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410" cy="96520"/>
            <wp:effectExtent l="19050" t="0" r="8890" b="0"/>
            <wp:docPr id="52" name="Рисунок 52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E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 групп</w:t>
      </w:r>
    </w:p>
    <w:p w:rsidR="000B0E48" w:rsidRPr="000B0E48" w:rsidRDefault="000B0E48" w:rsidP="000B0E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225" cy="132080"/>
            <wp:effectExtent l="19050" t="0" r="3175" b="0"/>
            <wp:docPr id="53" name="Рисунок 53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E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 единиц совокупности</w:t>
      </w:r>
    </w:p>
    <w:p w:rsidR="000B0E48" w:rsidRPr="000B0E48" w:rsidRDefault="000B0E48" w:rsidP="000B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следующее соотношение: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640"/>
        <w:gridCol w:w="640"/>
        <w:gridCol w:w="640"/>
        <w:gridCol w:w="760"/>
        <w:gridCol w:w="880"/>
        <w:gridCol w:w="895"/>
      </w:tblGrid>
      <w:tr w:rsidR="000B0E48" w:rsidRPr="000B0E48" w:rsidTr="000B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225" cy="132080"/>
                  <wp:effectExtent l="19050" t="0" r="3175" b="0"/>
                  <wp:docPr id="54" name="Рисунок 54" descr="http://chart.apis.google.com/chart?cht=tx&amp;chl=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chart.apis.google.com/chart?cht=tx&amp;chl=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25-44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45-89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90-179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180-359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360-719</w:t>
            </w:r>
          </w:p>
        </w:tc>
      </w:tr>
      <w:tr w:rsidR="000B0E48" w:rsidRPr="000B0E48" w:rsidTr="000B0E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410" cy="96520"/>
                  <wp:effectExtent l="19050" t="0" r="8890" b="0"/>
                  <wp:docPr id="55" name="Рисунок 55" descr="http://chart.apis.google.com/chart?cht=tx&amp;chl=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hart.apis.google.com/chart?cht=tx&amp;chl=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0E48" w:rsidRPr="000B0E48" w:rsidRDefault="000B0E48" w:rsidP="000B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B0E48" w:rsidRDefault="000B0E48" w:rsidP="000B0E48">
      <w:pPr>
        <w:numPr>
          <w:ilvl w:val="0"/>
          <w:numId w:val="15"/>
        </w:numPr>
        <w:spacing w:before="100" w:beforeAutospacing="1" w:after="100" w:afterAutospacing="1" w:line="240" w:lineRule="auto"/>
      </w:pPr>
    </w:p>
    <w:p w:rsidR="000B0E48" w:rsidRDefault="000B0E48" w:rsidP="000B0E48">
      <w:pPr>
        <w:pStyle w:val="a6"/>
      </w:pPr>
      <w:r>
        <w:t>Интервалы бывают открытые и закрытые. Закрытым считается интервал, в котором есть и нижняя и верхняя границы, в противном случае интервал считается открытым. При решении задач неизвестную границу открытого интервала определяют по величине смежного с ним интервала.</w:t>
      </w:r>
    </w:p>
    <w:p w:rsidR="000B0E48" w:rsidRDefault="000B0E48" w:rsidP="000B0E48">
      <w:pPr>
        <w:pStyle w:val="4"/>
      </w:pPr>
      <w:r>
        <w:t>Классификация</w:t>
      </w:r>
    </w:p>
    <w:p w:rsidR="000B0E48" w:rsidRDefault="000B0E48" w:rsidP="000B0E48">
      <w:pPr>
        <w:pStyle w:val="a6"/>
      </w:pPr>
      <w:r>
        <w:t>От группировок следует отличать классификацию. Классификация является основой группировок.</w:t>
      </w:r>
    </w:p>
    <w:p w:rsidR="000B0E48" w:rsidRDefault="000B0E48" w:rsidP="000B0E48">
      <w:pPr>
        <w:pStyle w:val="a6"/>
      </w:pPr>
      <w:r>
        <w:rPr>
          <w:rStyle w:val="a3"/>
        </w:rPr>
        <w:lastRenderedPageBreak/>
        <w:t>Классификацией</w:t>
      </w:r>
      <w:r>
        <w:t xml:space="preserve"> называется систематизированное распределение явлений и объектов на определенные группы, классы, разряды на основании их сходства и различия. Отличительной чертой классификации является то, что в основу ее кладется качественный признак.</w:t>
      </w:r>
    </w:p>
    <w:p w:rsidR="000B0E48" w:rsidRDefault="000B0E48" w:rsidP="000B0E48">
      <w:pPr>
        <w:pStyle w:val="a6"/>
      </w:pPr>
      <w:r>
        <w:rPr>
          <w:rStyle w:val="a3"/>
        </w:rPr>
        <w:t>Пример</w:t>
      </w:r>
      <w:r>
        <w:t xml:space="preserve">. </w:t>
      </w:r>
      <w:proofErr w:type="gramStart"/>
      <w:r>
        <w:t>Распределение предприятий по региона по величине розничного товарооборота в текущем году.</w:t>
      </w:r>
      <w:proofErr w:type="gramEnd"/>
    </w:p>
    <w:p w:rsidR="000B0E48" w:rsidRDefault="000B0E48" w:rsidP="000B0E48">
      <w:pPr>
        <w:pStyle w:val="a6"/>
      </w:pPr>
      <w:r>
        <w:rPr>
          <w:noProof/>
        </w:rPr>
        <w:drawing>
          <wp:inline distT="0" distB="0" distL="0" distR="0">
            <wp:extent cx="5134610" cy="2558415"/>
            <wp:effectExtent l="19050" t="0" r="8890" b="0"/>
            <wp:docPr id="34" name="Рисунок 34" descr="http://www.grandars.ru/images/1/review/id/338/7cfae6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randars.ru/images/1/review/id/338/7cfae6468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Default="000B0E48" w:rsidP="000B0E48">
      <w:pPr>
        <w:pStyle w:val="a6"/>
      </w:pPr>
      <w:r>
        <w:t xml:space="preserve">Если заранее не задано число групп </w:t>
      </w:r>
      <w:r>
        <w:rPr>
          <w:noProof/>
        </w:rPr>
        <w:drawing>
          <wp:inline distT="0" distB="0" distL="0" distR="0">
            <wp:extent cx="105410" cy="96520"/>
            <wp:effectExtent l="19050" t="0" r="8890" b="0"/>
            <wp:docPr id="35" name="Рисунок 35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для определения количества групп можно использовать формулу </w:t>
      </w:r>
      <w:proofErr w:type="spellStart"/>
      <w:r>
        <w:t>Стерджесса</w:t>
      </w:r>
      <w:proofErr w:type="spellEnd"/>
      <w:r>
        <w:t>:</w:t>
      </w:r>
    </w:p>
    <w:p w:rsidR="000B0E48" w:rsidRDefault="000B0E48" w:rsidP="000B0E48">
      <w:pPr>
        <w:pStyle w:val="a6"/>
      </w:pPr>
      <w:r>
        <w:rPr>
          <w:noProof/>
        </w:rPr>
        <w:drawing>
          <wp:inline distT="0" distB="0" distL="0" distR="0">
            <wp:extent cx="1310005" cy="184785"/>
            <wp:effectExtent l="19050" t="0" r="4445" b="0"/>
            <wp:docPr id="36" name="Рисунок 36" descr="http://chart.apis.google.com/chart?cht=tx&amp;chl=n=1%2B3.322*l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hart.apis.google.com/chart?cht=tx&amp;chl=n=1%2B3.322*lg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Default="000B0E48" w:rsidP="000B0E48">
      <w:pPr>
        <w:pStyle w:val="a6"/>
      </w:pPr>
      <w:r>
        <w:t xml:space="preserve">где </w:t>
      </w:r>
      <w:r>
        <w:rPr>
          <w:noProof/>
        </w:rPr>
        <w:drawing>
          <wp:inline distT="0" distB="0" distL="0" distR="0">
            <wp:extent cx="149225" cy="132080"/>
            <wp:effectExtent l="19050" t="0" r="3175" b="0"/>
            <wp:docPr id="37" name="Рисунок 37" descr="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— число единиц совокупности.</w:t>
      </w:r>
    </w:p>
    <w:p w:rsidR="000B0E48" w:rsidRDefault="000B0E48" w:rsidP="000B0E48">
      <w:pPr>
        <w:pStyle w:val="a6"/>
      </w:pPr>
      <w:r>
        <w:t>Величину интервала определяют по следующей формуле:</w:t>
      </w:r>
    </w:p>
    <w:p w:rsidR="000B0E48" w:rsidRDefault="000B0E48" w:rsidP="000B0E48">
      <w:pPr>
        <w:pStyle w:val="a6"/>
      </w:pPr>
      <w:r>
        <w:rPr>
          <w:noProof/>
        </w:rPr>
        <w:drawing>
          <wp:inline distT="0" distB="0" distL="0" distR="0">
            <wp:extent cx="3411220" cy="422275"/>
            <wp:effectExtent l="19050" t="0" r="0" b="0"/>
            <wp:docPr id="38" name="Рисунок 38" descr="http://www.grandars.ru/images/1/review/id/338/812b30c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randars.ru/images/1/review/id/338/812b30c78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8" w:rsidRDefault="000B0E48" w:rsidP="000B0E48">
      <w:pPr>
        <w:pStyle w:val="a6"/>
      </w:pPr>
      <w:r>
        <w:t>Результаты представим в табличной форме.</w:t>
      </w:r>
    </w:p>
    <w:p w:rsidR="000B0E48" w:rsidRDefault="000B0E48" w:rsidP="000B0E48">
      <w:pPr>
        <w:pStyle w:val="a6"/>
      </w:pPr>
      <w:r>
        <w:rPr>
          <w:noProof/>
        </w:rPr>
        <w:drawing>
          <wp:inline distT="0" distB="0" distL="0" distR="0">
            <wp:extent cx="5706110" cy="2487930"/>
            <wp:effectExtent l="19050" t="0" r="8890" b="0"/>
            <wp:docPr id="39" name="Рисунок 39" descr="http://www.grandars.ru/images/1/review/id/338/c5ea8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randars.ru/images/1/review/id/338/c5ea8620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08" w:rsidRDefault="001C4A08" w:rsidP="000529F9">
      <w:pPr>
        <w:pStyle w:val="a6"/>
        <w:spacing w:after="0" w:afterAutospacing="0"/>
        <w:rPr>
          <w:sz w:val="16"/>
          <w:szCs w:val="16"/>
        </w:rPr>
      </w:pPr>
      <w:bookmarkStart w:id="0" w:name="a4"/>
      <w:bookmarkEnd w:id="0"/>
    </w:p>
    <w:p w:rsidR="000B0E48" w:rsidRDefault="000B0E48" w:rsidP="000529F9">
      <w:pPr>
        <w:pStyle w:val="a6"/>
        <w:spacing w:after="0" w:afterAutospacing="0"/>
        <w:rPr>
          <w:sz w:val="16"/>
          <w:szCs w:val="16"/>
        </w:rPr>
      </w:pPr>
    </w:p>
    <w:p w:rsidR="000B0E48" w:rsidRPr="000529F9" w:rsidRDefault="000B0E48" w:rsidP="000529F9">
      <w:pPr>
        <w:pStyle w:val="a6"/>
        <w:spacing w:after="0" w:afterAutospacing="0"/>
        <w:rPr>
          <w:sz w:val="16"/>
          <w:szCs w:val="16"/>
        </w:rPr>
      </w:pPr>
    </w:p>
    <w:sectPr w:rsidR="000B0E48" w:rsidRPr="000529F9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8D"/>
    <w:multiLevelType w:val="multilevel"/>
    <w:tmpl w:val="711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318A5"/>
    <w:multiLevelType w:val="multilevel"/>
    <w:tmpl w:val="433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845AF"/>
    <w:multiLevelType w:val="multilevel"/>
    <w:tmpl w:val="04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6DC5"/>
    <w:multiLevelType w:val="multilevel"/>
    <w:tmpl w:val="DCE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7E5F"/>
    <w:multiLevelType w:val="multilevel"/>
    <w:tmpl w:val="C6D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04903"/>
    <w:multiLevelType w:val="multilevel"/>
    <w:tmpl w:val="83A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53406"/>
    <w:multiLevelType w:val="multilevel"/>
    <w:tmpl w:val="34C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95DBB"/>
    <w:multiLevelType w:val="multilevel"/>
    <w:tmpl w:val="575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B35E8"/>
    <w:multiLevelType w:val="multilevel"/>
    <w:tmpl w:val="9E8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220DB"/>
    <w:multiLevelType w:val="multilevel"/>
    <w:tmpl w:val="590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A351D"/>
    <w:multiLevelType w:val="multilevel"/>
    <w:tmpl w:val="D5B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53FF0"/>
    <w:multiLevelType w:val="multilevel"/>
    <w:tmpl w:val="5B8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1477F"/>
    <w:multiLevelType w:val="multilevel"/>
    <w:tmpl w:val="16F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D1863"/>
    <w:multiLevelType w:val="multilevel"/>
    <w:tmpl w:val="697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068C1"/>
    <w:rsid w:val="000529F9"/>
    <w:rsid w:val="000732B7"/>
    <w:rsid w:val="000778DB"/>
    <w:rsid w:val="000B0E48"/>
    <w:rsid w:val="000C0BF8"/>
    <w:rsid w:val="00173180"/>
    <w:rsid w:val="001C4A08"/>
    <w:rsid w:val="0028462B"/>
    <w:rsid w:val="002B6B78"/>
    <w:rsid w:val="002F02BA"/>
    <w:rsid w:val="003275E5"/>
    <w:rsid w:val="00340B99"/>
    <w:rsid w:val="00384E40"/>
    <w:rsid w:val="00440D24"/>
    <w:rsid w:val="004B3109"/>
    <w:rsid w:val="005E0145"/>
    <w:rsid w:val="006463C9"/>
    <w:rsid w:val="0069427D"/>
    <w:rsid w:val="0069582A"/>
    <w:rsid w:val="0075629C"/>
    <w:rsid w:val="00810C8B"/>
    <w:rsid w:val="008E7523"/>
    <w:rsid w:val="008F0BB8"/>
    <w:rsid w:val="009E004A"/>
    <w:rsid w:val="00A021A1"/>
    <w:rsid w:val="00A2782A"/>
    <w:rsid w:val="00AA15D5"/>
    <w:rsid w:val="00AE12E4"/>
    <w:rsid w:val="00B10426"/>
    <w:rsid w:val="00B3189A"/>
    <w:rsid w:val="00B707BD"/>
    <w:rsid w:val="00B9329E"/>
    <w:rsid w:val="00BC5903"/>
    <w:rsid w:val="00BF4A9F"/>
    <w:rsid w:val="00C26EF5"/>
    <w:rsid w:val="00C3530F"/>
    <w:rsid w:val="00CA1A67"/>
    <w:rsid w:val="00D73BAF"/>
    <w:rsid w:val="00DB1FA1"/>
    <w:rsid w:val="00DE4E67"/>
    <w:rsid w:val="00E80BAF"/>
    <w:rsid w:val="00E872FF"/>
    <w:rsid w:val="00E87C98"/>
    <w:rsid w:val="00EB5B7A"/>
    <w:rsid w:val="00EF2E7F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E0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0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view-h5">
    <w:name w:val="review-h5"/>
    <w:basedOn w:val="a0"/>
    <w:rsid w:val="000B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2020-06-09T06:47:00Z</dcterms:created>
  <dcterms:modified xsi:type="dcterms:W3CDTF">2020-06-09T06:47:00Z</dcterms:modified>
</cp:coreProperties>
</file>