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C" w:rsidRDefault="00FC51FC">
      <w:pPr>
        <w:rPr>
          <w:b/>
        </w:rPr>
      </w:pPr>
      <w:r w:rsidRPr="005F068C">
        <w:rPr>
          <w:b/>
        </w:rPr>
        <w:t>Домашнее задание по ПМ 02 ЭБ 80 от</w:t>
      </w:r>
      <w:r w:rsidR="000630EE">
        <w:rPr>
          <w:b/>
        </w:rPr>
        <w:t xml:space="preserve"> </w:t>
      </w:r>
      <w:r w:rsidR="000869EC">
        <w:rPr>
          <w:b/>
        </w:rPr>
        <w:t>13</w:t>
      </w:r>
      <w:r w:rsidR="004479C3">
        <w:rPr>
          <w:b/>
        </w:rPr>
        <w:t>.06.2020</w:t>
      </w:r>
    </w:p>
    <w:p w:rsidR="000869EC" w:rsidRDefault="000869EC">
      <w:pPr>
        <w:rPr>
          <w:b/>
        </w:rPr>
      </w:pPr>
      <w:r>
        <w:rPr>
          <w:b/>
        </w:rPr>
        <w:t>Сбор  информации о деятельности объекта внутреннего контроля по выполнению требований правовой и нормативной  базы и внутренних регламентов. Выполнить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EB4F61">
        <w:rPr>
          <w:rFonts w:eastAsia="Times New Roman"/>
          <w:sz w:val="24"/>
          <w:szCs w:val="24"/>
          <w:lang w:eastAsia="ru-RU"/>
        </w:rPr>
        <w:t>Порядок организации и осуществления внутреннего контроля оформляется документально на бумажном носителе и (или) в электронном виде. Положения, касающиеся организации внутреннего контроля, являются частью учредительных и внутренних организационно-распорядительных документов экономического субъекта (приказов, распоряжений, положений, должностных и иных инструкций, регламентов, методик, стандартов бухгалтерского учета экономического субъекта).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0" w:name="dst100054"/>
      <w:bookmarkEnd w:id="0"/>
      <w:r w:rsidRPr="00EB4F61">
        <w:rPr>
          <w:rFonts w:eastAsia="Times New Roman"/>
          <w:sz w:val="24"/>
          <w:szCs w:val="24"/>
          <w:lang w:eastAsia="ru-RU"/>
        </w:rPr>
        <w:t>12. Положения, касающиеся контрольной среды экономического субъекта, могут являться частью документов, определяющих: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1" w:name="dst100055"/>
      <w:bookmarkEnd w:id="1"/>
      <w:r w:rsidRPr="00EB4F61">
        <w:rPr>
          <w:rFonts w:eastAsia="Times New Roman"/>
          <w:sz w:val="24"/>
          <w:szCs w:val="24"/>
          <w:lang w:eastAsia="ru-RU"/>
        </w:rPr>
        <w:t>а) стратегию, цели и ценности экономического субъекта, его поведение на рынке и методы управления им;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2" w:name="dst100056"/>
      <w:bookmarkEnd w:id="2"/>
      <w:r w:rsidRPr="00EB4F61">
        <w:rPr>
          <w:rFonts w:eastAsia="Times New Roman"/>
          <w:sz w:val="24"/>
          <w:szCs w:val="24"/>
          <w:lang w:eastAsia="ru-RU"/>
        </w:rPr>
        <w:t>б) правила поведения руководства и иного персонала экономического субъекта при наступлении различных событий, процедуры рассмотрения жалоб (кодекс корпоративного управления, кодекс деловой этики);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3" w:name="dst100057"/>
      <w:bookmarkEnd w:id="3"/>
      <w:r w:rsidRPr="00EB4F61">
        <w:rPr>
          <w:rFonts w:eastAsia="Times New Roman"/>
          <w:sz w:val="24"/>
          <w:szCs w:val="24"/>
          <w:lang w:eastAsia="ru-RU"/>
        </w:rPr>
        <w:t>в) организационную структуру экономического субъекта, в том числе место и роль его подразделений, уровни принятия решений, штатное расписание;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4" w:name="dst100058"/>
      <w:bookmarkEnd w:id="4"/>
      <w:r w:rsidRPr="00EB4F61">
        <w:rPr>
          <w:rFonts w:eastAsia="Times New Roman"/>
          <w:sz w:val="24"/>
          <w:szCs w:val="24"/>
          <w:lang w:eastAsia="ru-RU"/>
        </w:rPr>
        <w:t>г) функции подразделений экономического субъекта, полномочия и ответственность их руководителей (положения об отдельных подразделениях экономического субъекта);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5" w:name="dst100059"/>
      <w:bookmarkEnd w:id="5"/>
      <w:proofErr w:type="spellStart"/>
      <w:r w:rsidRPr="00EB4F61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EB4F61">
        <w:rPr>
          <w:rFonts w:eastAsia="Times New Roman"/>
          <w:sz w:val="24"/>
          <w:szCs w:val="24"/>
          <w:lang w:eastAsia="ru-RU"/>
        </w:rPr>
        <w:t>) правила принятия управленческих решений и осуществления сделок и операций, в том числе учетную политику экономического субъекта;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6" w:name="dst100060"/>
      <w:bookmarkEnd w:id="6"/>
      <w:r w:rsidRPr="00EB4F61">
        <w:rPr>
          <w:rFonts w:eastAsia="Times New Roman"/>
          <w:sz w:val="24"/>
          <w:szCs w:val="24"/>
          <w:lang w:eastAsia="ru-RU"/>
        </w:rPr>
        <w:t>е) кадровую политику, устанавливающую подходы к найму, обучению и развитию персонала экономического субъекта, критерии оценки результатов деятельности, систему оплаты труда.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7" w:name="dst100061"/>
      <w:bookmarkEnd w:id="7"/>
      <w:r w:rsidRPr="00EB4F61">
        <w:rPr>
          <w:rFonts w:eastAsia="Times New Roman"/>
          <w:sz w:val="24"/>
          <w:szCs w:val="24"/>
          <w:lang w:eastAsia="ru-RU"/>
        </w:rPr>
        <w:t xml:space="preserve">12.1. </w:t>
      </w:r>
      <w:proofErr w:type="gramStart"/>
      <w:r w:rsidRPr="00EB4F61">
        <w:rPr>
          <w:rFonts w:eastAsia="Times New Roman"/>
          <w:sz w:val="24"/>
          <w:szCs w:val="24"/>
          <w:lang w:eastAsia="ru-RU"/>
        </w:rPr>
        <w:t>Применительно к ведению бухгалтерского учета, в том числе составлению бухгалтерской (финансовой) отчетности, контрольную среду могут описывать положение о бухгалтерской службе, учетная политика экономического субъекта, требования к квалификации бухгалтерского персонала и другие документы, устанавливающие общие требования к среде, в которой организуется и ведется бухгалтерский учет, порядку взаимодействия подразделений и персонала экономического субъекта и принятия решений по вопросам бухгалтерского учета.</w:t>
      </w:r>
      <w:proofErr w:type="gramEnd"/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8" w:name="dst100062"/>
      <w:bookmarkEnd w:id="8"/>
      <w:r w:rsidRPr="00EB4F61">
        <w:rPr>
          <w:rFonts w:eastAsia="Times New Roman"/>
          <w:sz w:val="24"/>
          <w:szCs w:val="24"/>
          <w:lang w:eastAsia="ru-RU"/>
        </w:rPr>
        <w:t>13. Документированию рисков, как правило, предшествует описание бизнес-процессов и процедур работы экономического субъекта. Достоверное описание бизнес-процессов экономического субъекта способствует выявлению и оценке всех существенных рисков вне зависимости от того, осуществляется ли в настоящее время в отношении них внутренний контроль.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9" w:name="dst100063"/>
      <w:bookmarkEnd w:id="9"/>
      <w:r w:rsidRPr="00EB4F61">
        <w:rPr>
          <w:rFonts w:eastAsia="Times New Roman"/>
          <w:sz w:val="24"/>
          <w:szCs w:val="24"/>
          <w:lang w:eastAsia="ru-RU"/>
        </w:rPr>
        <w:t>13.1. Описание бизнес-процессов экономического субъекта может проводиться в разрезе направлений его деятельности, его юридической или организационной структуры. Описания бизнес-процессов экономического субъекта составляются в текстовой и графической форме, что обеспечивает полноту и наглядность представления деятельности экономического субъекта.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10" w:name="dst100064"/>
      <w:bookmarkEnd w:id="10"/>
      <w:r w:rsidRPr="00EB4F61">
        <w:rPr>
          <w:rFonts w:eastAsia="Times New Roman"/>
          <w:sz w:val="24"/>
          <w:szCs w:val="24"/>
          <w:lang w:eastAsia="ru-RU"/>
        </w:rPr>
        <w:t>13.2. Описание риска включает: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11" w:name="dst100065"/>
      <w:bookmarkEnd w:id="11"/>
      <w:r w:rsidRPr="00EB4F61">
        <w:rPr>
          <w:rFonts w:eastAsia="Times New Roman"/>
          <w:sz w:val="24"/>
          <w:szCs w:val="24"/>
          <w:lang w:eastAsia="ru-RU"/>
        </w:rPr>
        <w:t>а) указание на потенциальное неблагоприятное внутреннее и (или) внешнее событие (факт, обстоятельство), порождающее риск;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12" w:name="dst100066"/>
      <w:bookmarkEnd w:id="12"/>
      <w:r w:rsidRPr="00EB4F61">
        <w:rPr>
          <w:rFonts w:eastAsia="Times New Roman"/>
          <w:sz w:val="24"/>
          <w:szCs w:val="24"/>
          <w:lang w:eastAsia="ru-RU"/>
        </w:rPr>
        <w:t>б) причину и вероятность его возникновения;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13" w:name="dst100067"/>
      <w:bookmarkEnd w:id="13"/>
      <w:r w:rsidRPr="00EB4F61">
        <w:rPr>
          <w:rFonts w:eastAsia="Times New Roman"/>
          <w:sz w:val="24"/>
          <w:szCs w:val="24"/>
          <w:lang w:eastAsia="ru-RU"/>
        </w:rPr>
        <w:lastRenderedPageBreak/>
        <w:t>в) возможные негативные последствия (ущерб), их количественную и (или) качественную оценку.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14" w:name="dst100068"/>
      <w:bookmarkEnd w:id="14"/>
      <w:r w:rsidRPr="00EB4F61">
        <w:rPr>
          <w:rFonts w:eastAsia="Times New Roman"/>
          <w:sz w:val="24"/>
          <w:szCs w:val="24"/>
          <w:lang w:eastAsia="ru-RU"/>
        </w:rPr>
        <w:t>13.3. По результатам оценки рисков экономический субъект определяет наиболее существенные риски и принимает решения для минимизации их посредством организации и осуществления внутреннего контроля.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15" w:name="dst100069"/>
      <w:bookmarkEnd w:id="15"/>
      <w:r w:rsidRPr="00EB4F61">
        <w:rPr>
          <w:rFonts w:eastAsia="Times New Roman"/>
          <w:sz w:val="24"/>
          <w:szCs w:val="24"/>
          <w:lang w:eastAsia="ru-RU"/>
        </w:rPr>
        <w:t>С целью систематизации принятых экономическим субъектом процедур внутреннего контроля, относящихся к определенным выявленным рискам и зафиксированных в соответствующих внутренних организационно-распорядительных документах, а также оценки полноты покрытия внутренним контролем выявленных рисков, как правило, составляется матрица рисков и процедур внутреннего контроля. Матрица рисков и процедур внутреннего контроля содержит: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16" w:name="dst100070"/>
      <w:bookmarkEnd w:id="16"/>
      <w:r w:rsidRPr="00EB4F61">
        <w:rPr>
          <w:rFonts w:eastAsia="Times New Roman"/>
          <w:sz w:val="24"/>
          <w:szCs w:val="24"/>
          <w:lang w:eastAsia="ru-RU"/>
        </w:rPr>
        <w:t>а) описание риска, на минимизацию последствий которого направлен внутренний контроль;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17" w:name="dst100071"/>
      <w:bookmarkEnd w:id="17"/>
      <w:r w:rsidRPr="00EB4F61">
        <w:rPr>
          <w:rFonts w:eastAsia="Times New Roman"/>
          <w:sz w:val="24"/>
          <w:szCs w:val="24"/>
          <w:lang w:eastAsia="ru-RU"/>
        </w:rPr>
        <w:t>б) наименование области или процесса, который подвержен риску;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18" w:name="dst100072"/>
      <w:bookmarkEnd w:id="18"/>
      <w:r w:rsidRPr="00EB4F61">
        <w:rPr>
          <w:rFonts w:eastAsia="Times New Roman"/>
          <w:sz w:val="24"/>
          <w:szCs w:val="24"/>
          <w:lang w:eastAsia="ru-RU"/>
        </w:rPr>
        <w:t>в) наименование и краткое описание процедуры (процедур) внутреннего контроля, посредством осуществления которой (которых) минимизируются последствия риска;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19" w:name="dst100073"/>
      <w:bookmarkEnd w:id="19"/>
      <w:r w:rsidRPr="00EB4F61">
        <w:rPr>
          <w:rFonts w:eastAsia="Times New Roman"/>
          <w:sz w:val="24"/>
          <w:szCs w:val="24"/>
          <w:lang w:eastAsia="ru-RU"/>
        </w:rPr>
        <w:t>г) классификацию процедуры внутреннего контроля (если это необходимо для структурирования информации);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20" w:name="dst100074"/>
      <w:bookmarkEnd w:id="20"/>
      <w:proofErr w:type="spellStart"/>
      <w:r w:rsidRPr="00EB4F61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EB4F61">
        <w:rPr>
          <w:rFonts w:eastAsia="Times New Roman"/>
          <w:sz w:val="24"/>
          <w:szCs w:val="24"/>
          <w:lang w:eastAsia="ru-RU"/>
        </w:rPr>
        <w:t>) ссылку на регламент осуществления процедуры внутреннего контроля (документ, в котором устанавливаются детальные требования к осуществлению внутреннего контроля);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21" w:name="dst100075"/>
      <w:bookmarkEnd w:id="21"/>
      <w:r w:rsidRPr="00EB4F61">
        <w:rPr>
          <w:rFonts w:eastAsia="Times New Roman"/>
          <w:sz w:val="24"/>
          <w:szCs w:val="24"/>
          <w:lang w:eastAsia="ru-RU"/>
        </w:rPr>
        <w:t>е) исполнителя процедуры внутреннего контроля (сотрудник или информационная система);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22" w:name="dst100076"/>
      <w:bookmarkEnd w:id="22"/>
      <w:r w:rsidRPr="00EB4F61">
        <w:rPr>
          <w:rFonts w:eastAsia="Times New Roman"/>
          <w:sz w:val="24"/>
          <w:szCs w:val="24"/>
          <w:lang w:eastAsia="ru-RU"/>
        </w:rPr>
        <w:t>ж) частоту (периодичность) осуществления процедуры внутреннего контроля;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23" w:name="dst100077"/>
      <w:bookmarkEnd w:id="23"/>
      <w:proofErr w:type="spellStart"/>
      <w:r w:rsidRPr="00EB4F61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EB4F61">
        <w:rPr>
          <w:rFonts w:eastAsia="Times New Roman"/>
          <w:sz w:val="24"/>
          <w:szCs w:val="24"/>
          <w:lang w:eastAsia="ru-RU"/>
        </w:rPr>
        <w:t>) входящие документы (на основании которых осуществляется процедура внутреннего контроля);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24" w:name="dst100078"/>
      <w:bookmarkEnd w:id="24"/>
      <w:r w:rsidRPr="00EB4F61">
        <w:rPr>
          <w:rFonts w:eastAsia="Times New Roman"/>
          <w:sz w:val="24"/>
          <w:szCs w:val="24"/>
          <w:lang w:eastAsia="ru-RU"/>
        </w:rPr>
        <w:t>и) исходящие документы (свидетельства осуществления процедуры внутреннего контроля).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25" w:name="dst100079"/>
      <w:bookmarkEnd w:id="25"/>
      <w:r w:rsidRPr="00EB4F61">
        <w:rPr>
          <w:rFonts w:eastAsia="Times New Roman"/>
          <w:sz w:val="24"/>
          <w:szCs w:val="24"/>
          <w:lang w:eastAsia="ru-RU"/>
        </w:rPr>
        <w:t>14. Документами, устанавливающими правила коммуникации, могут являться: положение об информационной политике (в области внешних и внутренних коммуникаций), графики предоставления данных и составления отчетности, должностные инструкции.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26" w:name="dst100080"/>
      <w:bookmarkEnd w:id="26"/>
      <w:r w:rsidRPr="00EB4F61">
        <w:rPr>
          <w:rFonts w:eastAsia="Times New Roman"/>
          <w:sz w:val="24"/>
          <w:szCs w:val="24"/>
          <w:lang w:eastAsia="ru-RU"/>
        </w:rPr>
        <w:t>15. Документация, оформляющая организацию внутреннего контроля, регулярно обновляется. Экономический субъект не реже одного раза в год проводит оценку необходимости обновления документации. Основанием для обновления документации могут являться, например, результаты периодической оценки и непрерывного мониторинга внутреннего контроля, организационные изменения, изменения процессов и процедур работы экономического субъекта. Обновление документации производится в течение разумного срока после выявления ее недостатков или изменений в деятельности экономического субъекта.</w:t>
      </w:r>
    </w:p>
    <w:p w:rsidR="00EB4F61" w:rsidRPr="00EB4F61" w:rsidRDefault="00EB4F61" w:rsidP="00EB4F61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bookmarkStart w:id="27" w:name="dst100081"/>
      <w:bookmarkEnd w:id="27"/>
      <w:r w:rsidRPr="00EB4F61">
        <w:rPr>
          <w:rFonts w:eastAsia="Times New Roman"/>
          <w:sz w:val="24"/>
          <w:szCs w:val="24"/>
          <w:lang w:eastAsia="ru-RU"/>
        </w:rPr>
        <w:t>16. Экономический субъект обеспечивает хранение документации, оформляющей организацию и осуществление внутреннего контроля, в течение разумных сроков.</w:t>
      </w:r>
    </w:p>
    <w:p w:rsidR="004479C3" w:rsidRPr="00A467E7" w:rsidRDefault="004479C3">
      <w:pPr>
        <w:rPr>
          <w:b/>
        </w:rPr>
      </w:pPr>
    </w:p>
    <w:sectPr w:rsidR="004479C3" w:rsidRPr="00A467E7" w:rsidSect="00DF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E35"/>
    <w:multiLevelType w:val="multilevel"/>
    <w:tmpl w:val="C5A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29D8"/>
    <w:multiLevelType w:val="multilevel"/>
    <w:tmpl w:val="9A2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6A93"/>
    <w:multiLevelType w:val="hybridMultilevel"/>
    <w:tmpl w:val="DA1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0AD0"/>
    <w:multiLevelType w:val="multilevel"/>
    <w:tmpl w:val="036E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34392"/>
    <w:multiLevelType w:val="multilevel"/>
    <w:tmpl w:val="D492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D0252"/>
    <w:multiLevelType w:val="multilevel"/>
    <w:tmpl w:val="7E4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33DF4"/>
    <w:multiLevelType w:val="multilevel"/>
    <w:tmpl w:val="FE5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1D0E"/>
    <w:multiLevelType w:val="multilevel"/>
    <w:tmpl w:val="9468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16A0E"/>
    <w:multiLevelType w:val="multilevel"/>
    <w:tmpl w:val="D1C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A1A9F"/>
    <w:multiLevelType w:val="hybridMultilevel"/>
    <w:tmpl w:val="DA1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72848"/>
    <w:multiLevelType w:val="multilevel"/>
    <w:tmpl w:val="FD0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B5CF4"/>
    <w:multiLevelType w:val="multilevel"/>
    <w:tmpl w:val="9EA2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E69A5"/>
    <w:multiLevelType w:val="multilevel"/>
    <w:tmpl w:val="6384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8E1DAC"/>
    <w:multiLevelType w:val="multilevel"/>
    <w:tmpl w:val="061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0E"/>
    <w:rsid w:val="0005030E"/>
    <w:rsid w:val="000630EE"/>
    <w:rsid w:val="000869EC"/>
    <w:rsid w:val="000D157C"/>
    <w:rsid w:val="001C7E31"/>
    <w:rsid w:val="002142E6"/>
    <w:rsid w:val="002516A2"/>
    <w:rsid w:val="00256B13"/>
    <w:rsid w:val="002D7BA3"/>
    <w:rsid w:val="00313938"/>
    <w:rsid w:val="003B6563"/>
    <w:rsid w:val="00432049"/>
    <w:rsid w:val="004479C3"/>
    <w:rsid w:val="00850CA5"/>
    <w:rsid w:val="00A048FF"/>
    <w:rsid w:val="00A467E7"/>
    <w:rsid w:val="00B35910"/>
    <w:rsid w:val="00C26FBF"/>
    <w:rsid w:val="00CB7673"/>
    <w:rsid w:val="00CF1CFC"/>
    <w:rsid w:val="00CF50D5"/>
    <w:rsid w:val="00D56E0A"/>
    <w:rsid w:val="00DF6405"/>
    <w:rsid w:val="00E76C34"/>
    <w:rsid w:val="00EA0212"/>
    <w:rsid w:val="00EB4F61"/>
    <w:rsid w:val="00EC4886"/>
    <w:rsid w:val="00EF0E1D"/>
    <w:rsid w:val="00F175ED"/>
    <w:rsid w:val="00F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175E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175ED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175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75ED"/>
    <w:rPr>
      <w:b/>
      <w:bCs/>
    </w:rPr>
  </w:style>
  <w:style w:type="character" w:styleId="a8">
    <w:name w:val="Emphasis"/>
    <w:basedOn w:val="a0"/>
    <w:uiPriority w:val="20"/>
    <w:qFormat/>
    <w:rsid w:val="00F175ED"/>
    <w:rPr>
      <w:i/>
      <w:iCs/>
    </w:rPr>
  </w:style>
  <w:style w:type="paragraph" w:styleId="a9">
    <w:name w:val="List Paragraph"/>
    <w:basedOn w:val="a"/>
    <w:uiPriority w:val="34"/>
    <w:qFormat/>
    <w:rsid w:val="00D56E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F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sert">
    <w:name w:val="insert"/>
    <w:basedOn w:val="a"/>
    <w:rsid w:val="00CF50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EF0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Kab-101</cp:lastModifiedBy>
  <cp:revision>2</cp:revision>
  <dcterms:created xsi:type="dcterms:W3CDTF">2020-06-13T06:56:00Z</dcterms:created>
  <dcterms:modified xsi:type="dcterms:W3CDTF">2020-06-13T06:56:00Z</dcterms:modified>
</cp:coreProperties>
</file>