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E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="00A021A1" w:rsidRPr="00A021A1">
        <w:rPr>
          <w:rFonts w:ascii="Times New Roman" w:hAnsi="Times New Roman" w:cs="Times New Roman"/>
          <w:b/>
          <w:u w:val="single"/>
        </w:rPr>
        <w:t xml:space="preserve">СТАТИСТИКА 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80</w:t>
      </w:r>
      <w:r w:rsidR="00A021A1">
        <w:rPr>
          <w:rFonts w:ascii="Times New Roman" w:hAnsi="Times New Roman" w:cs="Times New Roman"/>
          <w:b/>
        </w:rPr>
        <w:t xml:space="preserve"> от</w:t>
      </w:r>
      <w:r w:rsidR="000778DB">
        <w:rPr>
          <w:rFonts w:ascii="Times New Roman" w:hAnsi="Times New Roman" w:cs="Times New Roman"/>
          <w:b/>
        </w:rPr>
        <w:t>2</w:t>
      </w:r>
      <w:r w:rsidR="002B6B78">
        <w:rPr>
          <w:rFonts w:ascii="Times New Roman" w:hAnsi="Times New Roman" w:cs="Times New Roman"/>
          <w:b/>
        </w:rPr>
        <w:t>3</w:t>
      </w:r>
      <w:r w:rsidR="00EB5B7A">
        <w:rPr>
          <w:rFonts w:ascii="Times New Roman" w:hAnsi="Times New Roman" w:cs="Times New Roman"/>
          <w:b/>
        </w:rPr>
        <w:t>.</w:t>
      </w:r>
      <w:r w:rsidR="00A021A1">
        <w:rPr>
          <w:rFonts w:ascii="Times New Roman" w:hAnsi="Times New Roman" w:cs="Times New Roman"/>
          <w:b/>
        </w:rPr>
        <w:t>04.2020</w:t>
      </w:r>
    </w:p>
    <w:p w:rsidR="002B6B78" w:rsidRPr="00D73BAF" w:rsidRDefault="00D73BAF" w:rsidP="002B6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1.Разберите пример 1 самостоятельно.</w:t>
      </w:r>
    </w:p>
    <w:p w:rsidR="002B6B78" w:rsidRPr="002B6B78" w:rsidRDefault="00D73BAF" w:rsidP="002B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="002B6B78"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продукта «Т» на рынках города характеризуется за два периода следующими данными: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885"/>
        <w:gridCol w:w="1020"/>
        <w:gridCol w:w="885"/>
        <w:gridCol w:w="990"/>
      </w:tblGrid>
      <w:tr w:rsidR="002B6B78" w:rsidRPr="002B6B78" w:rsidTr="002B6B78">
        <w:trPr>
          <w:tblCellSpacing w:w="15" w:type="dxa"/>
        </w:trPr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78" w:rsidRPr="002B6B78" w:rsidRDefault="002B6B78" w:rsidP="002B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78" w:rsidRPr="002B6B78" w:rsidRDefault="002B6B78" w:rsidP="002B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Модальная цена, (руб. за 1 кг) 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78" w:rsidRPr="002B6B78" w:rsidRDefault="002B6B78" w:rsidP="002B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(т) </w:t>
            </w:r>
          </w:p>
        </w:tc>
      </w:tr>
      <w:tr w:rsidR="002B6B78" w:rsidRPr="002B6B78" w:rsidTr="002B6B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78" w:rsidRPr="002B6B78" w:rsidRDefault="002B6B78" w:rsidP="002B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78" w:rsidRPr="002B6B78" w:rsidRDefault="002B6B78" w:rsidP="002B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78" w:rsidRPr="002B6B78" w:rsidRDefault="002B6B78" w:rsidP="002B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78" w:rsidRPr="002B6B78" w:rsidRDefault="002B6B78" w:rsidP="002B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78" w:rsidRPr="002B6B78" w:rsidRDefault="002B6B78" w:rsidP="002B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2B6B78" w:rsidRPr="002B6B78" w:rsidTr="002B6B78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78" w:rsidRPr="002B6B78" w:rsidRDefault="002B6B78" w:rsidP="002B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78" w:rsidRPr="002B6B78" w:rsidRDefault="002B6B78" w:rsidP="002B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78" w:rsidRPr="002B6B78" w:rsidRDefault="002B6B78" w:rsidP="002B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78" w:rsidRPr="002B6B78" w:rsidRDefault="002B6B78" w:rsidP="002B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78" w:rsidRPr="002B6B78" w:rsidRDefault="002B6B78" w:rsidP="002B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2B6B78" w:rsidRPr="002B6B78" w:rsidTr="002B6B78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78" w:rsidRPr="002B6B78" w:rsidRDefault="002B6B78" w:rsidP="002B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78" w:rsidRPr="002B6B78" w:rsidRDefault="002B6B78" w:rsidP="002B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33,28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78" w:rsidRPr="002B6B78" w:rsidRDefault="002B6B78" w:rsidP="002B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42,03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78" w:rsidRPr="002B6B78" w:rsidRDefault="002B6B78" w:rsidP="002B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78" w:rsidRPr="002B6B78" w:rsidRDefault="002B6B78" w:rsidP="002B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</w:p>
        </w:tc>
      </w:tr>
      <w:tr w:rsidR="002B6B78" w:rsidRPr="002B6B78" w:rsidTr="002B6B78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78" w:rsidRPr="002B6B78" w:rsidRDefault="002B6B78" w:rsidP="002B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78" w:rsidRPr="002B6B78" w:rsidRDefault="002B6B78" w:rsidP="002B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30,44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78" w:rsidRPr="002B6B78" w:rsidRDefault="002B6B78" w:rsidP="002B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45,20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78" w:rsidRPr="002B6B78" w:rsidRDefault="002B6B78" w:rsidP="002B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78" w:rsidRPr="002B6B78" w:rsidRDefault="002B6B78" w:rsidP="002B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</w:t>
            </w:r>
          </w:p>
        </w:tc>
      </w:tr>
      <w:tr w:rsidR="002B6B78" w:rsidRPr="002B6B78" w:rsidTr="002B6B78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78" w:rsidRPr="002B6B78" w:rsidRDefault="002B6B78" w:rsidP="002B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78" w:rsidRPr="002B6B78" w:rsidRDefault="002B6B78" w:rsidP="002B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36,82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78" w:rsidRPr="002B6B78" w:rsidRDefault="002B6B78" w:rsidP="002B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44,36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78" w:rsidRPr="002B6B78" w:rsidRDefault="002B6B78" w:rsidP="002B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78" w:rsidRPr="002B6B78" w:rsidRDefault="002B6B78" w:rsidP="002B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</w:t>
            </w:r>
          </w:p>
        </w:tc>
      </w:tr>
      <w:tr w:rsidR="002B6B78" w:rsidRPr="002B6B78" w:rsidTr="002B6B78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78" w:rsidRPr="002B6B78" w:rsidRDefault="002B6B78" w:rsidP="002B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78" w:rsidRPr="002B6B78" w:rsidRDefault="002B6B78" w:rsidP="002B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31,48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78" w:rsidRPr="002B6B78" w:rsidRDefault="002B6B78" w:rsidP="002B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39,80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78" w:rsidRPr="002B6B78" w:rsidRDefault="002B6B78" w:rsidP="002B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B78" w:rsidRPr="002B6B78" w:rsidRDefault="002B6B78" w:rsidP="002B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</w:t>
            </w:r>
          </w:p>
        </w:tc>
      </w:tr>
    </w:tbl>
    <w:p w:rsidR="002B6B78" w:rsidRPr="002B6B78" w:rsidRDefault="002B6B78" w:rsidP="002B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Определите: </w:t>
      </w:r>
    </w:p>
    <w:p w:rsidR="002B6B78" w:rsidRPr="002B6B78" w:rsidRDefault="002B6B78" w:rsidP="002B6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Индексы цен: переменного и постоянного состава. </w:t>
      </w:r>
    </w:p>
    <w:p w:rsidR="002B6B78" w:rsidRPr="002B6B78" w:rsidRDefault="002B6B78" w:rsidP="002B6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влияния структурных сдвигов. </w:t>
      </w:r>
    </w:p>
    <w:p w:rsidR="002B6B78" w:rsidRPr="002B6B78" w:rsidRDefault="002B6B78" w:rsidP="002B6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Прирост средней цены в абсолютных величинах – общий и за счёт действия отдельных факторов. </w:t>
      </w:r>
    </w:p>
    <w:p w:rsidR="002B6B78" w:rsidRPr="002B6B78" w:rsidRDefault="002B6B78" w:rsidP="002B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индекс цен переменного состава</w:t>
      </w:r>
      <w:proofErr w:type="gramStart"/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ассчитаем средние цены на крахмал: </w:t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Средняя цена за отчетный период </w:t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3915" cy="483870"/>
            <wp:effectExtent l="19050" t="0" r="0" b="0"/>
            <wp:docPr id="8" name="Рисунок 8" descr="https://axd.semestr.ru/images/axd/index/i3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xd.semestr.ru/images/axd/index/i3_image0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Средняя цена за базисный период</w:t>
      </w:r>
      <w:proofErr w:type="gramStart"/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5510" cy="483870"/>
            <wp:effectExtent l="0" t="0" r="0" b="0"/>
            <wp:docPr id="9" name="Рисунок 9" descr="https://axd.semestr.ru/images/axd/index/i3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xd.semestr.ru/images/axd/index/i3_image0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этих формул следует, что средняя цена по всем группам зависит от средней цены на крахмал по отдельным группам и доли физического объема продаж в каждой из этих групп. </w:t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образом, можно сказать, что средняя цена на крахмал по всем группам равна сумме произведений средней цены по группам (качественный показатель) на долю в физическом объеме соответствующей группы (количественный показатель). </w:t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Доля в количественном объеме товара в данном примере определяет структуру объема продукции. </w:t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1375" cy="386715"/>
            <wp:effectExtent l="19050" t="0" r="0" b="0"/>
            <wp:docPr id="10" name="Рисунок 10" descr="https://axd.semestr.ru/images/axd/index/i3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xd.semestr.ru/images/axd/index/i3_image00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5675" cy="386715"/>
            <wp:effectExtent l="19050" t="0" r="0" b="0"/>
            <wp:docPr id="11" name="Рисунок 11" descr="https://axd.semestr.ru/images/axd/index/i3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xd.semestr.ru/images/axd/index/i3_image00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Соответственно, индекс цен переменного состава (индекс средних величин) будет представлять собой отношение: </w:t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9715" cy="386715"/>
            <wp:effectExtent l="19050" t="0" r="0" b="0"/>
            <wp:docPr id="12" name="Рисунок 12" descr="https://axd.semestr.ru/images/axd/index/i3_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xd.semestr.ru/images/axd/index/i3_image00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счет всех факторов цена возросла на 30.43</w:t>
      </w:r>
      <w:proofErr w:type="gramStart"/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аналогии с построением факторных агрегатных индексов и в этом примере можно построить факторные индексы. </w:t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б) индекс цен фиксированного (постоянного) состава</w:t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определить влияние только средней цены по разным группам товара на изменение средней цены по всей совокупности в формуле индекса цен переменного состава необходимо устранить влияние изменения структуры физического объема. </w:t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достигается путем фиксирования значения доли (количественный показатель) на отчетном уровне. Получаемый индекс называется </w:t>
      </w:r>
      <w:r w:rsidRPr="002B6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индексом фиксированного (постоянного) состава</w:t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рассчитывается по формуле: </w:t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3775" cy="483870"/>
            <wp:effectExtent l="19050" t="0" r="0" b="0"/>
            <wp:docPr id="13" name="Рисунок 13" descr="индекс цен фиксированного сост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ндекс цен фиксированного состав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09490" cy="386715"/>
            <wp:effectExtent l="19050" t="0" r="0" b="0"/>
            <wp:docPr id="14" name="Рисунок 14" descr="индекс цен постоянного сост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ндекс цен постоянного состав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счет изменения структуры цены средняя цена возросла на 29.83% </w:t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индекс влияния изменения структуры производства продукции на динамику средней цены</w:t>
      </w:r>
      <w:proofErr w:type="gramStart"/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5275" cy="483870"/>
            <wp:effectExtent l="19050" t="0" r="0" b="0"/>
            <wp:docPr id="15" name="Рисунок 15" descr="https://axd.semestr.ru/images/axd/index/i3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xd.semestr.ru/images/axd/index/i3_image008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5515" cy="386715"/>
            <wp:effectExtent l="19050" t="0" r="0" b="0"/>
            <wp:docPr id="16" name="Рисунок 16" descr="https://axd.semestr.ru/images/axd/index/i3_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xd.semestr.ru/images/axd/index/i3_image009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равнивая формулы, полученные для расчета вышеуказанных индексов, нетрудно заметить, что индекс структурных сдвигов равен отношению индекса переменного состава и индекса фиксированного состава, т.е.: </w:t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5175" cy="422275"/>
            <wp:effectExtent l="19050" t="0" r="0" b="0"/>
            <wp:docPr id="17" name="Рисунок 17" descr="https://axd.semestr.ru/images/axd/index/i3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xd.semestr.ru/images/axd/index/i3_image01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0975" cy="386715"/>
            <wp:effectExtent l="19050" t="0" r="0" b="0"/>
            <wp:docPr id="18" name="Рисунок 18" descr="https://axd.semestr.ru/images/axd/index/i3_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xd.semestr.ru/images/axd/index/i3_image011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счет изменения структуры выработанной продукции средняя цена возросла на 0.46% </w:t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этих трех индексов для однородной совокупности может быть рассчитан </w:t>
      </w:r>
      <w:r w:rsidRPr="002B6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индекс физического объема:</w:t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1605" cy="386715"/>
            <wp:effectExtent l="19050" t="0" r="0" b="0"/>
            <wp:docPr id="19" name="Рисунок 19" descr="https://axd.semestr.ru/images/axd/index/i3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xd.semestr.ru/images/axd/index/i3_image012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индекс стоимости равен:</w:t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</w:t>
      </w:r>
      <w:r w:rsidRPr="002B6B7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Q</w:t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2B6B7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п.c</w:t>
      </w:r>
      <w:proofErr w:type="spellEnd"/>
      <w:r w:rsidRPr="002B6B7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2B6B7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q</w:t>
      </w:r>
      <w:proofErr w:type="spellEnd"/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1.3043 </w:t>
      </w:r>
      <w:proofErr w:type="spellStart"/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1.0456 = 1.3638</w:t>
      </w:r>
      <w:proofErr w:type="gramStart"/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ассмотрим </w:t>
      </w:r>
      <w:r w:rsidRPr="002B6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разложение по факторам абсолютного изменения качественного показателя в однородной совокупности</w:t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Абсолютный прирост средних цен на крахмал по всем группам будет рассчитываться следующим образом: </w:t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2090" cy="255270"/>
            <wp:effectExtent l="19050" t="0" r="0" b="0"/>
            <wp:docPr id="20" name="Рисунок 20" descr="https://axd.semestr.ru/images/axd/index/i3_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xd.semestr.ru/images/axd/index/i3_image013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Изменение средней цены на крахмал по всем группам только за счет изменения средней цены по отдельным группам будет рассчитываться по формуле: </w:t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6870" cy="483870"/>
            <wp:effectExtent l="19050" t="0" r="0" b="0"/>
            <wp:docPr id="21" name="Рисунок 21" descr="https://axd.semestr.ru/images/axd/index/i3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xd.semestr.ru/images/axd/index/i3_image014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6625" cy="263525"/>
            <wp:effectExtent l="19050" t="0" r="0" b="0"/>
            <wp:docPr id="22" name="Рисунок 22" descr="https://axd.semestr.ru/images/axd/index/i3_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xd.semestr.ru/images/axd/index/i3_image015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Аналогичные рассуждения проводятся и для расчета изменения средней цены по всем группам только за счет изменения структуры физического объема: </w:t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5125" cy="483870"/>
            <wp:effectExtent l="19050" t="0" r="0" b="0"/>
            <wp:docPr id="23" name="Рисунок 23" descr="https://axd.semestr.ru/images/axd/index/i3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xd.semestr.ru/images/axd/index/i3_image016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0590" cy="263525"/>
            <wp:effectExtent l="19050" t="0" r="0" b="0"/>
            <wp:docPr id="24" name="Рисунок 24" descr="https://axd.semestr.ru/images/axd/index/i3_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xd.semestr.ru/images/axd/index/i3_image017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Очевидно, что общий абсолютный прирост средних цен по всем группам равен сумме факторных изменений: </w:t>
      </w:r>
      <w:r w:rsidRPr="002B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0830" cy="263525"/>
            <wp:effectExtent l="19050" t="0" r="0" b="0"/>
            <wp:docPr id="25" name="Рисунок 25" descr="https://axd.semestr.ru/images/axd/index/i3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xd.semestr.ru/images/axd/index/i3_image018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B78" w:rsidRPr="002B6B78" w:rsidRDefault="002B6B78" w:rsidP="00D73B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B78" w:rsidRPr="002B6B78" w:rsidRDefault="002B6B78" w:rsidP="00D73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DB" w:rsidRDefault="00D73BAF" w:rsidP="000778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Задание 2.Имеются следующие данные о стоимости имущества предприятия ( </w:t>
      </w:r>
      <w:proofErr w:type="spellStart"/>
      <w:proofErr w:type="gramStart"/>
      <w:r>
        <w:rPr>
          <w:rFonts w:ascii="Arial" w:eastAsia="Times New Roman" w:hAnsi="Arial" w:cs="Arial"/>
          <w:color w:val="000000"/>
          <w:lang w:eastAsia="ru-RU"/>
        </w:rPr>
        <w:t>млн</w:t>
      </w:r>
      <w:proofErr w:type="spellEnd"/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руб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)</w:t>
      </w: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73BAF" w:rsidTr="00D73BAF">
        <w:tc>
          <w:tcPr>
            <w:tcW w:w="1914" w:type="dxa"/>
          </w:tcPr>
          <w:p w:rsidR="00D73BAF" w:rsidRDefault="00D73BAF" w:rsidP="000778D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год</w:t>
            </w:r>
          </w:p>
        </w:tc>
        <w:tc>
          <w:tcPr>
            <w:tcW w:w="1914" w:type="dxa"/>
          </w:tcPr>
          <w:p w:rsidR="00D73BAF" w:rsidRDefault="00D73BAF" w:rsidP="000778D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4" w:type="dxa"/>
          </w:tcPr>
          <w:p w:rsidR="00D73BAF" w:rsidRDefault="00D73BAF" w:rsidP="000778D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4" w:type="dxa"/>
          </w:tcPr>
          <w:p w:rsidR="00D73BAF" w:rsidRDefault="00D73BAF" w:rsidP="000778D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5" w:type="dxa"/>
          </w:tcPr>
          <w:p w:rsidR="00D73BAF" w:rsidRDefault="00D73BAF" w:rsidP="000778D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73BAF" w:rsidTr="00D73BAF">
        <w:tc>
          <w:tcPr>
            <w:tcW w:w="1914" w:type="dxa"/>
          </w:tcPr>
          <w:p w:rsidR="00D73BAF" w:rsidRDefault="00D73BAF" w:rsidP="000778D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2007</w:t>
            </w:r>
          </w:p>
        </w:tc>
        <w:tc>
          <w:tcPr>
            <w:tcW w:w="1914" w:type="dxa"/>
          </w:tcPr>
          <w:p w:rsidR="00D73BAF" w:rsidRDefault="00D73BAF" w:rsidP="000778D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1914" w:type="dxa"/>
          </w:tcPr>
          <w:p w:rsidR="00D73BAF" w:rsidRDefault="00D73BAF" w:rsidP="000778D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1914" w:type="dxa"/>
          </w:tcPr>
          <w:p w:rsidR="00D73BAF" w:rsidRDefault="00D73BAF" w:rsidP="000778D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1915" w:type="dxa"/>
          </w:tcPr>
          <w:p w:rsidR="00D73BAF" w:rsidRDefault="00D73BAF" w:rsidP="000778D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</w:tr>
      <w:tr w:rsidR="00D73BAF" w:rsidTr="00D73BAF">
        <w:tc>
          <w:tcPr>
            <w:tcW w:w="1914" w:type="dxa"/>
          </w:tcPr>
          <w:p w:rsidR="00D73BAF" w:rsidRDefault="00D73BAF" w:rsidP="000778D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2008</w:t>
            </w:r>
          </w:p>
        </w:tc>
        <w:tc>
          <w:tcPr>
            <w:tcW w:w="1914" w:type="dxa"/>
          </w:tcPr>
          <w:p w:rsidR="00D73BAF" w:rsidRDefault="00D73BAF" w:rsidP="000778D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1914" w:type="dxa"/>
          </w:tcPr>
          <w:p w:rsidR="00D73BAF" w:rsidRDefault="00D73BAF" w:rsidP="000778D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1914" w:type="dxa"/>
          </w:tcPr>
          <w:p w:rsidR="00D73BAF" w:rsidRDefault="00D73BAF" w:rsidP="000778D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1915" w:type="dxa"/>
          </w:tcPr>
          <w:p w:rsidR="00D73BAF" w:rsidRDefault="00D73BAF" w:rsidP="000778D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78</w:t>
            </w:r>
          </w:p>
        </w:tc>
      </w:tr>
      <w:tr w:rsidR="00D73BAF" w:rsidTr="00D73BAF">
        <w:tc>
          <w:tcPr>
            <w:tcW w:w="1914" w:type="dxa"/>
          </w:tcPr>
          <w:p w:rsidR="00D73BAF" w:rsidRDefault="00D73BAF" w:rsidP="000778D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2009</w:t>
            </w:r>
          </w:p>
        </w:tc>
        <w:tc>
          <w:tcPr>
            <w:tcW w:w="1914" w:type="dxa"/>
          </w:tcPr>
          <w:p w:rsidR="00D73BAF" w:rsidRDefault="00D73BAF" w:rsidP="000778D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1914" w:type="dxa"/>
          </w:tcPr>
          <w:p w:rsidR="00D73BAF" w:rsidRDefault="00D73BAF" w:rsidP="000778D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84</w:t>
            </w:r>
          </w:p>
        </w:tc>
        <w:tc>
          <w:tcPr>
            <w:tcW w:w="1914" w:type="dxa"/>
          </w:tcPr>
          <w:p w:rsidR="00D73BAF" w:rsidRDefault="00D73BAF" w:rsidP="000778D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88</w:t>
            </w:r>
          </w:p>
        </w:tc>
        <w:tc>
          <w:tcPr>
            <w:tcW w:w="1915" w:type="dxa"/>
          </w:tcPr>
          <w:p w:rsidR="00D73BAF" w:rsidRDefault="00D73BAF" w:rsidP="000778D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</w:tr>
      <w:tr w:rsidR="00D73BAF" w:rsidTr="00D73BAF">
        <w:tc>
          <w:tcPr>
            <w:tcW w:w="1914" w:type="dxa"/>
          </w:tcPr>
          <w:p w:rsidR="00D73BAF" w:rsidRDefault="00D73BAF" w:rsidP="000778D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2010</w:t>
            </w:r>
          </w:p>
        </w:tc>
        <w:tc>
          <w:tcPr>
            <w:tcW w:w="1914" w:type="dxa"/>
          </w:tcPr>
          <w:p w:rsidR="00D73BAF" w:rsidRDefault="00D73BAF" w:rsidP="000778D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1914" w:type="dxa"/>
          </w:tcPr>
          <w:p w:rsidR="00D73BAF" w:rsidRDefault="00D73BAF" w:rsidP="000778D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4" w:type="dxa"/>
          </w:tcPr>
          <w:p w:rsidR="00D73BAF" w:rsidRDefault="00D73BAF" w:rsidP="000778D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5" w:type="dxa"/>
          </w:tcPr>
          <w:p w:rsidR="00D73BAF" w:rsidRDefault="00D73BAF" w:rsidP="000778D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</w:tbl>
    <w:p w:rsidR="00D73BAF" w:rsidRDefault="00D73BAF" w:rsidP="000778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Определить  абсолютные и  относительные изменения среднегодовой стоимости имущества в 2009 г по сравнению  с 2007 и 2008 г</w:t>
      </w:r>
    </w:p>
    <w:p w:rsidR="00D73BAF" w:rsidRDefault="00D73BAF" w:rsidP="000778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D73BAF" w:rsidRPr="000778DB" w:rsidRDefault="00D73BAF" w:rsidP="000778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У=</w:t>
      </w:r>
    </w:p>
    <w:sectPr w:rsidR="00D73BAF" w:rsidRPr="000778DB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5087"/>
    <w:multiLevelType w:val="multilevel"/>
    <w:tmpl w:val="0B90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C16CC"/>
    <w:multiLevelType w:val="multilevel"/>
    <w:tmpl w:val="21D0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0732B7"/>
    <w:rsid w:val="000778DB"/>
    <w:rsid w:val="00173180"/>
    <w:rsid w:val="002B6B78"/>
    <w:rsid w:val="004B3109"/>
    <w:rsid w:val="0075629C"/>
    <w:rsid w:val="00810C8B"/>
    <w:rsid w:val="00A021A1"/>
    <w:rsid w:val="00AE12E4"/>
    <w:rsid w:val="00B10426"/>
    <w:rsid w:val="00B3189A"/>
    <w:rsid w:val="00B9329E"/>
    <w:rsid w:val="00C3530F"/>
    <w:rsid w:val="00D73BAF"/>
    <w:rsid w:val="00DE4E67"/>
    <w:rsid w:val="00E80BAF"/>
    <w:rsid w:val="00E872FF"/>
    <w:rsid w:val="00EB5B7A"/>
    <w:rsid w:val="00F2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5B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B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B7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2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778DB"/>
    <w:rPr>
      <w:i/>
      <w:iCs/>
    </w:rPr>
  </w:style>
  <w:style w:type="character" w:styleId="a8">
    <w:name w:val="Hyperlink"/>
    <w:basedOn w:val="a0"/>
    <w:uiPriority w:val="99"/>
    <w:semiHidden/>
    <w:unhideWhenUsed/>
    <w:rsid w:val="002B6B78"/>
    <w:rPr>
      <w:color w:val="0000FF"/>
      <w:u w:val="single"/>
    </w:rPr>
  </w:style>
  <w:style w:type="table" w:styleId="a9">
    <w:name w:val="Table Grid"/>
    <w:basedOn w:val="a1"/>
    <w:uiPriority w:val="59"/>
    <w:rsid w:val="00D73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90406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Kab-101</cp:lastModifiedBy>
  <cp:revision>2</cp:revision>
  <dcterms:created xsi:type="dcterms:W3CDTF">2020-04-24T05:45:00Z</dcterms:created>
  <dcterms:modified xsi:type="dcterms:W3CDTF">2020-04-24T05:45:00Z</dcterms:modified>
</cp:coreProperties>
</file>