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71"/>
        <w:gridCol w:w="1476"/>
        <w:gridCol w:w="3091"/>
        <w:gridCol w:w="1656"/>
        <w:gridCol w:w="2277"/>
      </w:tblGrid>
      <w:tr w:rsidR="00451BB0" w:rsidRPr="00322D78" w:rsidTr="00047DAC">
        <w:tc>
          <w:tcPr>
            <w:tcW w:w="1071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5МЭ70</w:t>
            </w:r>
          </w:p>
        </w:tc>
        <w:tc>
          <w:tcPr>
            <w:tcW w:w="1476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1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656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2277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451BB0" w:rsidRPr="00322D78" w:rsidTr="00047DAC">
        <w:tc>
          <w:tcPr>
            <w:tcW w:w="1071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091" w:type="dxa"/>
          </w:tcPr>
          <w:p w:rsidR="00451BB0" w:rsidRPr="009909F4" w:rsidRDefault="00451BB0" w:rsidP="00451B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2.4.Оборудование для штанговой насосной эксплуатации скважин</w:t>
            </w:r>
          </w:p>
          <w:p w:rsidR="00451BB0" w:rsidRPr="00B36AA6" w:rsidRDefault="00451BB0" w:rsidP="0045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2.4.2. Приводы скважинных штанговых насосов.</w:t>
            </w:r>
          </w:p>
          <w:p w:rsidR="00451BB0" w:rsidRPr="00322D78" w:rsidRDefault="00451BB0" w:rsidP="004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C3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 в шатунах, тангенциальные усилия.</w:t>
            </w:r>
          </w:p>
        </w:tc>
        <w:tc>
          <w:tcPr>
            <w:tcW w:w="1656" w:type="dxa"/>
          </w:tcPr>
          <w:p w:rsidR="00451BB0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B0">
              <w:rPr>
                <w:rFonts w:ascii="Times New Roman" w:hAnsi="Times New Roman" w:cs="Times New Roman"/>
                <w:sz w:val="28"/>
                <w:szCs w:val="28"/>
              </w:rPr>
              <w:t>У {4.30}Стр.186</w:t>
            </w:r>
          </w:p>
        </w:tc>
      </w:tr>
    </w:tbl>
    <w:p w:rsidR="00451BB0" w:rsidRPr="00756306" w:rsidRDefault="00451BB0" w:rsidP="00451BB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Выполненое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домашнее задание отправлять на электронную почту</w:t>
      </w:r>
    </w:p>
    <w:p w:rsidR="00451BB0" w:rsidRPr="00E52A2C" w:rsidRDefault="00451BB0" w:rsidP="0045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A2C">
        <w:rPr>
          <w:rFonts w:ascii="Times New Roman" w:hAnsi="Times New Roman" w:cs="Times New Roman"/>
          <w:sz w:val="28"/>
          <w:szCs w:val="28"/>
        </w:rPr>
        <w:t>Литература:</w:t>
      </w:r>
      <w:r w:rsidRPr="00E52A2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451BB0" w:rsidRPr="00E52A2C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1.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оборудования. Том 1.-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451BB0" w:rsidRPr="00901EB8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=521189</w:t>
      </w:r>
    </w:p>
    <w:p w:rsidR="00451BB0" w:rsidRPr="00E52A2C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2.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оборудования: учебно-практическое пособие. Том 2.-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451BB0" w:rsidRPr="00901EB8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=521260</w:t>
      </w:r>
    </w:p>
    <w:p w:rsidR="00451BB0" w:rsidRPr="00E52A2C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В.О. Некрасов, Эксплуатация магистральных и технологических </w:t>
      </w:r>
      <w:proofErr w:type="spellStart"/>
      <w:r w:rsidRPr="00E52A2C">
        <w:rPr>
          <w:rFonts w:ascii="Times New Roman" w:hAnsi="Times New Roman" w:cs="Times New Roman"/>
        </w:rPr>
        <w:t>нефтегазопроводов</w:t>
      </w:r>
      <w:proofErr w:type="spellEnd"/>
      <w:r w:rsidRPr="00E52A2C">
        <w:rPr>
          <w:rFonts w:ascii="Times New Roman" w:hAnsi="Times New Roman" w:cs="Times New Roman"/>
        </w:rPr>
        <w:t xml:space="preserve">. Объекты и режимы работы: учебное пособие.-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 xml:space="preserve">, 2014. </w:t>
      </w:r>
    </w:p>
    <w:p w:rsidR="00451BB0" w:rsidRPr="00901EB8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/64531/#1</w:t>
      </w:r>
    </w:p>
    <w:p w:rsidR="00451BB0" w:rsidRPr="00E52A2C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4.  Резервуары для приёма, хранения и отпуска нефтепродуктов: учебное пособие/ Безбородов Ю.Н., Шрам В.Г., Кравцова Е.Г. и др. - Красноярск: СФУ, 2015.</w:t>
      </w:r>
    </w:p>
    <w:p w:rsidR="00B8104B" w:rsidRDefault="00B8104B"/>
    <w:sectPr w:rsidR="00B8104B" w:rsidSect="00B8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BB0"/>
    <w:rsid w:val="00451BB0"/>
    <w:rsid w:val="00B8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2020-04-22T13:29:00Z</dcterms:created>
  <dcterms:modified xsi:type="dcterms:W3CDTF">2020-04-22T13:31:00Z</dcterms:modified>
</cp:coreProperties>
</file>