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9048"/>
        <w:gridCol w:w="367"/>
      </w:tblGrid>
      <w:tr w:rsidR="00100B62" w:rsidRPr="00100B62" w:rsidTr="00100B6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100B62" w:rsidRPr="00100B62" w:rsidRDefault="00100B62" w:rsidP="008A2989">
            <w:pPr>
              <w:shd w:val="clear" w:color="auto" w:fill="FFFFFF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ОСНОВЫ ТЕРМОДИНАМИКИ</w:t>
            </w:r>
          </w:p>
          <w:p w:rsidR="00100B62" w:rsidRPr="00100B62" w:rsidRDefault="00100B62" w:rsidP="008A2989">
            <w:pPr>
              <w:shd w:val="clear" w:color="auto" w:fill="FFFFFF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Занятие 1. Термодинамическая система</w:t>
            </w:r>
          </w:p>
          <w:p w:rsidR="00100B62" w:rsidRPr="00100B62" w:rsidRDefault="00100B62" w:rsidP="008A2989">
            <w:pPr>
              <w:shd w:val="clear" w:color="auto" w:fill="FFFFFF"/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 ее состояние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8A2989" w:rsidRPr="008A2989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</w:t>
            </w:r>
            <w:r w:rsidRPr="008A2989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A2989" w:rsidRPr="008A2989">
              <w:rPr>
                <w:rFonts w:ascii="Times New Roman" w:hAnsi="Times New Roman" w:cs="Times New Roman"/>
                <w:sz w:val="28"/>
                <w:szCs w:val="28"/>
              </w:rPr>
              <w:t xml:space="preserve">Термодинамическая система. </w:t>
            </w:r>
          </w:p>
          <w:p w:rsidR="008A2989" w:rsidRPr="008A2989" w:rsidRDefault="008A2989" w:rsidP="00100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89">
              <w:rPr>
                <w:rFonts w:ascii="Times New Roman" w:hAnsi="Times New Roman" w:cs="Times New Roman"/>
                <w:sz w:val="28"/>
                <w:szCs w:val="28"/>
              </w:rPr>
              <w:t xml:space="preserve">2. Теплота и работа. Параметры состояния термодинамической системы. </w:t>
            </w:r>
          </w:p>
          <w:p w:rsidR="008A2989" w:rsidRPr="008A2989" w:rsidRDefault="008A2989" w:rsidP="00100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89">
              <w:rPr>
                <w:rFonts w:ascii="Times New Roman" w:hAnsi="Times New Roman" w:cs="Times New Roman"/>
                <w:sz w:val="28"/>
                <w:szCs w:val="28"/>
              </w:rPr>
              <w:t>3. Основные з</w:t>
            </w:r>
            <w:r w:rsidRPr="008A2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989">
              <w:rPr>
                <w:rFonts w:ascii="Times New Roman" w:hAnsi="Times New Roman" w:cs="Times New Roman"/>
                <w:sz w:val="28"/>
                <w:szCs w:val="28"/>
              </w:rPr>
              <w:t xml:space="preserve">коны идеальных газов. </w:t>
            </w:r>
          </w:p>
          <w:p w:rsidR="00100B62" w:rsidRPr="008A2989" w:rsidRDefault="008A2989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8A2989">
              <w:rPr>
                <w:rFonts w:ascii="Times New Roman" w:hAnsi="Times New Roman" w:cs="Times New Roman"/>
                <w:sz w:val="28"/>
                <w:szCs w:val="28"/>
              </w:rPr>
              <w:t>4. Уравнения состояния идеального газа. Свойства реальных г</w:t>
            </w:r>
            <w:r w:rsidRPr="008A29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2989">
              <w:rPr>
                <w:rFonts w:ascii="Times New Roman" w:hAnsi="Times New Roman" w:cs="Times New Roman"/>
                <w:sz w:val="28"/>
                <w:szCs w:val="28"/>
              </w:rPr>
              <w:t>зов.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Термодинамика  это наука о свойствах энергии, взаимодействии ее форм и закономерностях превращения. Термодинамика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изучает тела, состоящие из большого количества молекул (макротела), не рассматривая отдельные молекулы, их взаимодействие и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энергетические превращения внутри тел.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Объектом изучения термодинамики является термодинамическая система. Термодинамической системой называется тело или совокупность тел, в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ы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деленных для исследования. Остальные </w:t>
            </w:r>
            <w:proofErr w:type="gramStart"/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тела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не включенные в состав си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темы, называют окружающей средой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Термодинамическая система имеет границы, разделяющие ее с</w:t>
            </w:r>
            <w:r w:rsidR="008A2989" w:rsidRPr="008A2989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окружа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ю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щей средой. </w:t>
            </w:r>
            <w:proofErr w:type="gramStart"/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Причем эти границы могут быть материальными (оболочка) или абстрактными (условные поверхности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Термодинамическая система, которая может обмениваться </w:t>
            </w:r>
            <w:proofErr w:type="gramStart"/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окружающей средой веществом, называется открытой. Закрытая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система не может обмениваться веществом с окружающей средой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Термодинамическая система может также обмениваться с окружающей средой энергией. Изолированной называется система, лишенная возмо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ж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ности обмениваться энергией в виде теплоты или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работы с окружающей средой. </w:t>
            </w:r>
            <w:proofErr w:type="gramStart"/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Теплоизолированной</w:t>
            </w:r>
            <w:proofErr w:type="gramEnd"/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, или адиабат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ной, системой называется система, которая не может обмениваться со ср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е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дой теплотой, но способна обмениваться механической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работой. Механически изолированная система не способна обмениваться с окружающей средой механической работой, но может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обмениваться те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лотой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.</w:t>
            </w:r>
          </w:p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Изменение состояния термодинамической системы в результате обмена энергией с окружающей средой называется термодинамическим проце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сом. Преобразование теплоты в механическую работу (</w:t>
            </w:r>
            <w:proofErr w:type="gramStart"/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или</w:t>
            </w:r>
            <w:proofErr w:type="gramEnd"/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наоборот) в технических устройствах осуществляется при</w:t>
            </w:r>
            <w:r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помощи вещества, спосо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ного воспринимать теплоту и совершать</w:t>
            </w:r>
            <w:r w:rsidRPr="00100B62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 </w:t>
            </w:r>
            <w:r w:rsidRPr="00100B62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работу.</w:t>
            </w:r>
          </w:p>
        </w:tc>
        <w:tc>
          <w:tcPr>
            <w:tcW w:w="322" w:type="dxa"/>
            <w:shd w:val="clear" w:color="auto" w:fill="F5F5F5"/>
            <w:tcMar>
              <w:top w:w="0" w:type="dxa"/>
              <w:left w:w="34" w:type="dxa"/>
              <w:bottom w:w="0" w:type="dxa"/>
              <w:right w:w="0" w:type="dxa"/>
            </w:tcMar>
            <w:vAlign w:val="center"/>
            <w:hideMark/>
          </w:tcPr>
          <w:p w:rsidR="00100B62" w:rsidRPr="00100B62" w:rsidRDefault="00100B62" w:rsidP="0010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100B62" w:rsidRPr="00100B62" w:rsidTr="00100B62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100B62" w:rsidRPr="00100B62" w:rsidRDefault="00100B62" w:rsidP="00100B62">
            <w:pPr>
              <w:shd w:val="clear" w:color="auto" w:fill="FFFFFF"/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" w:type="dxa"/>
            <w:shd w:val="clear" w:color="auto" w:fill="F5F5F5"/>
            <w:tcMar>
              <w:top w:w="0" w:type="dxa"/>
              <w:left w:w="34" w:type="dxa"/>
              <w:bottom w:w="0" w:type="dxa"/>
              <w:right w:w="0" w:type="dxa"/>
            </w:tcMar>
            <w:vAlign w:val="center"/>
          </w:tcPr>
          <w:p w:rsidR="00100B62" w:rsidRPr="00100B62" w:rsidRDefault="00100B62" w:rsidP="0010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вещество принято называть рабочим телом. На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качестве рабочих тел используются газы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упрощения изучения термодинамических процессов часто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понятие идеального газа. Под идеальным пон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газ, у которого отсутствуют силы взаимодействия между мол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кулами, а сами молекулы бесконечно малы по объему (но имеют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конечную массу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2989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 термодинамической системы оценивается определенными физ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ческими величинами. Физические величины, которые можно измерить и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вестными способами, получили название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параметры состояния. 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параметрам состояния чаще всего относят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температуру, давление, пло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</w:p>
    <w:p w:rsidR="00100B62" w:rsidRPr="00100B62" w:rsidRDefault="00100B62" w:rsidP="008A2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T является мерой нагрева рабочего тела и характеризует его внутреннюю энергию. За единицу температуры принимают градус, кот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имеет одинаковое значение в наиболее распространенных температу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шкалах Цельсия (С) и Кельвина (К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Температурная шкала Цельсия, в которой за ноль принимается температура таяния льда, получила распр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быту и бытовых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приборах. В температурной шкале Кельвина за ноль принимается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температура, при которой полностью прекращается дв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молекул. Температура, определенная в соответствии с этой шк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</w:t>
      </w:r>
    </w:p>
    <w:p w:rsid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абсолютной температурой. Шкала Кельвина используется в те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модинамических расчетах. Температура, измеренная по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шкалеКельвина</w:t>
      </w:r>
      <w:proofErr w:type="spell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</w:t>
      </w:r>
      <w:proofErr w:type="gram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температура, измеренная по шкале Цельсия (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между собой сл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дующим соотношением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2989" w:rsidRDefault="008A2989" w:rsidP="008A2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=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+ 273</w:t>
      </w:r>
    </w:p>
    <w:p w:rsidR="008A2989" w:rsidRPr="00100B62" w:rsidRDefault="008A2989" w:rsidP="008A2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B62" w:rsidRPr="00100B62" w:rsidRDefault="00100B62" w:rsidP="008A2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единицей его измерения в СИ является Па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(паскаль). Давление может быть абсолютным, избыточным и вакуумным. Параметром термодинамического состояния является абсолютное давление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количества вещества может быть использована его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ρ. Однако в термодинамике более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распространение получила велич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обратная пло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</w:t>
      </w:r>
      <w:r w:rsidRPr="00100B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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объем</w:t>
      </w:r>
    </w:p>
    <w:p w:rsidR="008A2989" w:rsidRPr="00100B62" w:rsidRDefault="008A2989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989" w:rsidRPr="008A2989" w:rsidRDefault="008A2989" w:rsidP="008A2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2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100B62"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1/ρ = </w:t>
      </w:r>
      <w:r w:rsidRPr="008A29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100B62"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proofErr w:type="spellStart"/>
      <w:r w:rsidR="00100B62"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</w:t>
      </w:r>
      <w:proofErr w:type="spellEnd"/>
      <w:r w:rsidR="00100B62"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A2989" w:rsidRDefault="008A2989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 это объем W, который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рабочее тело (наиболее часто газ) ма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сой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 кг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B62" w:rsidRPr="00100B62" w:rsidRDefault="00100B62" w:rsidP="008A2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Отмеченные параметры состояния связаны между собой.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</w:t>
      </w:r>
      <w:proofErr w:type="spellEnd"/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выражающие зависимость между ними, называются уравнениями с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 термодинамической системы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0B62" w:rsidRDefault="00100B62" w:rsidP="008A2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известны уравнения состояния идеального газа. Наибольшее распространение из них получило уравнение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з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писи этого уравнения (для газа массой 1 кг) имеет следующий вид</w:t>
      </w:r>
      <w:r w:rsidR="008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2989" w:rsidRPr="008A2989" w:rsidRDefault="008A2989" w:rsidP="008A2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A2989" w:rsidRPr="00100B62" w:rsidRDefault="008A2989" w:rsidP="006D672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pv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=R=const</m:t>
        </m:r>
      </m:oMath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(1)</w:t>
      </w:r>
    </w:p>
    <w:p w:rsidR="008A2989" w:rsidRDefault="008A2989" w:rsidP="008A2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00B62" w:rsidRPr="00100B62" w:rsidRDefault="00100B62" w:rsidP="006D6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уравнения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получены другие уравнения с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 идеального газа. Так, при постоянной темп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ратуре</w:t>
      </w:r>
    </w:p>
    <w:p w:rsidR="00100B62" w:rsidRPr="00100B62" w:rsidRDefault="006D672A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из (</w:t>
      </w:r>
      <w:r w:rsidR="00100B62"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получаем уравнение Бойля</w:t>
      </w:r>
      <w:r w:rsidR="00100B62" w:rsidRPr="00100B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</w:t>
      </w:r>
      <w:r w:rsidR="00100B62"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Мариотта (</w:t>
      </w:r>
      <w:proofErr w:type="spellStart"/>
      <w:r w:rsidR="00100B62"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proofErr w:type="spellEnd"/>
      <w:r w:rsidRPr="006D67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="00100B62"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proofErr w:type="spellStart"/>
      <w:r w:rsidR="00100B62"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const</w:t>
      </w:r>
      <w:proofErr w:type="spellEnd"/>
      <w:r w:rsidR="00100B62"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="00100B62"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постоянном давлении </w:t>
      </w:r>
      <w:proofErr w:type="spellStart"/>
      <w:proofErr w:type="gram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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уравнение Гей-Люссака</w:t>
      </w:r>
      <w:r w:rsidR="006D672A" w:rsidRP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7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/T = </w:t>
      </w:r>
      <w:proofErr w:type="spellStart"/>
      <w:r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const</w:t>
      </w:r>
      <w:proofErr w:type="spell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постоянном объеме  уравнение Шарля (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/T =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  <w:r w:rsidR="006D672A" w:rsidRP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0B62" w:rsidRPr="00100B62" w:rsidRDefault="00100B62" w:rsidP="006D6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использовано и для расчета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химически однородных газов, которые в большинстве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устройств ведут себя как </w:t>
      </w:r>
      <w:proofErr w:type="gram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идеальные</w:t>
      </w:r>
      <w:proofErr w:type="gram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резуль</w:t>
      </w:r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 расч</w:t>
      </w:r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по (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дают значительных отклонений от опытных данных. Таким о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разом, для химически однородной те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</w:t>
      </w:r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намической системы уравнение (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однозначно определяет ее</w:t>
      </w:r>
      <w:r w:rsidR="006D672A" w:rsidRP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</w:t>
      </w:r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как (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связывает три параме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(</w:t>
      </w:r>
      <w:proofErr w:type="spellStart"/>
      <w:r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proofErr w:type="spellEnd"/>
      <w:r w:rsidR="006D672A" w:rsidRPr="006D67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6D67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10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T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тоимея</w:t>
      </w:r>
      <w:proofErr w:type="spell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двух из них, третий параметр состояния можно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6D672A" w:rsidRP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00B62" w:rsidRPr="00100B62" w:rsidRDefault="00100B62" w:rsidP="006D6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Константа R, входящая в уравнение </w:t>
      </w:r>
      <w:proofErr w:type="spell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Клапейрона</w:t>
      </w:r>
      <w:proofErr w:type="spellEnd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называется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удельной газовой постоянной. Она различна для разных газов, но</w:t>
      </w:r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любого химически однородного газа может быть </w:t>
      </w:r>
      <w:proofErr w:type="gram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00B62" w:rsidRPr="00100B62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</w:t>
      </w:r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100B62" w:rsidRDefault="006D672A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R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μ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/μ</m:t>
          </m:r>
        </m:oMath>
      </m:oMathPara>
    </w:p>
    <w:p w:rsidR="006D672A" w:rsidRPr="00100B62" w:rsidRDefault="006D672A" w:rsidP="00100B62">
      <w:pPr>
        <w:shd w:val="clear" w:color="auto" w:fill="FFFFFF"/>
        <w:spacing w:after="0" w:line="240" w:lineRule="auto"/>
        <w:jc w:val="both"/>
        <w:rPr>
          <w:oMath/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</w:pPr>
    </w:p>
    <w:p w:rsidR="00100B62" w:rsidRPr="00100B62" w:rsidRDefault="00100B62" w:rsidP="006D6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µ </w:t>
      </w:r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0B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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безразмерная величина, численно равная </w:t>
      </w:r>
      <w:proofErr w:type="gramStart"/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молекулярной</w:t>
      </w:r>
      <w:proofErr w:type="gramEnd"/>
    </w:p>
    <w:p w:rsidR="006D672A" w:rsidRDefault="00100B62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массе данного газа; </w:t>
      </w:r>
    </w:p>
    <w:p w:rsidR="00100B62" w:rsidRPr="00100B62" w:rsidRDefault="00100B62" w:rsidP="006D6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Rµ </w:t>
      </w:r>
      <w:r w:rsidRPr="00100B62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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константа, которая называется универсальной газовой постоя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имеет значение 8314 Дж/(кг·К</w:t>
      </w:r>
      <w:r w:rsidR="006D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10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одинаковое для всех газов</w:t>
      </w:r>
    </w:p>
    <w:p w:rsidR="006D672A" w:rsidRDefault="006D672A" w:rsidP="0010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B62" w:rsidRPr="00100B62" w:rsidRDefault="00100B62" w:rsidP="00100B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0B62" w:rsidRPr="00100B62" w:rsidSect="0077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savePreviewPicture/>
  <w:compat/>
  <w:rsids>
    <w:rsidRoot w:val="00100B62"/>
    <w:rsid w:val="00100B62"/>
    <w:rsid w:val="00440A34"/>
    <w:rsid w:val="006D672A"/>
    <w:rsid w:val="00773950"/>
    <w:rsid w:val="008A2989"/>
    <w:rsid w:val="00B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9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650">
          <w:marLeft w:val="5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0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2019-02-07T03:03:00Z</dcterms:created>
  <dcterms:modified xsi:type="dcterms:W3CDTF">2019-02-07T03:49:00Z</dcterms:modified>
</cp:coreProperties>
</file>